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A8768D" w14:textId="77777777" w:rsidR="0073045B" w:rsidRDefault="00DE1DEA">
      <w:pPr>
        <w:jc w:val="center"/>
        <w:rPr>
          <w:b/>
          <w:sz w:val="48"/>
          <w:szCs w:val="48"/>
        </w:rPr>
      </w:pPr>
      <w:bookmarkStart w:id="0" w:name="_GoBack"/>
      <w:bookmarkEnd w:id="0"/>
      <w:r>
        <w:rPr>
          <w:b/>
          <w:sz w:val="48"/>
          <w:szCs w:val="48"/>
        </w:rPr>
        <w:t>Climate Change Stances</w:t>
      </w:r>
    </w:p>
    <w:tbl>
      <w:tblPr>
        <w:tblStyle w:val="a"/>
        <w:tblW w:w="93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48"/>
        <w:gridCol w:w="1348"/>
        <w:gridCol w:w="1545"/>
        <w:gridCol w:w="1245"/>
        <w:gridCol w:w="3885"/>
      </w:tblGrid>
      <w:tr w:rsidR="0073045B" w14:paraId="1D81F40A" w14:textId="77777777">
        <w:tc>
          <w:tcPr>
            <w:tcW w:w="1348" w:type="dxa"/>
            <w:tcMar>
              <w:top w:w="100" w:type="dxa"/>
              <w:left w:w="100" w:type="dxa"/>
              <w:bottom w:w="100" w:type="dxa"/>
              <w:right w:w="100" w:type="dxa"/>
            </w:tcMar>
          </w:tcPr>
          <w:p w14:paraId="30D8E4E7" w14:textId="77777777" w:rsidR="0073045B" w:rsidRDefault="00DE1DEA">
            <w:pPr>
              <w:rPr>
                <w:b/>
              </w:rPr>
            </w:pPr>
            <w:r>
              <w:rPr>
                <w:b/>
              </w:rPr>
              <w:t>Number of Operative Paragraph</w:t>
            </w:r>
          </w:p>
        </w:tc>
        <w:tc>
          <w:tcPr>
            <w:tcW w:w="1348" w:type="dxa"/>
            <w:tcMar>
              <w:top w:w="100" w:type="dxa"/>
              <w:left w:w="100" w:type="dxa"/>
              <w:bottom w:w="100" w:type="dxa"/>
              <w:right w:w="100" w:type="dxa"/>
            </w:tcMar>
          </w:tcPr>
          <w:p w14:paraId="0BD2380E" w14:textId="77777777" w:rsidR="0073045B" w:rsidRDefault="00DE1DEA">
            <w:pPr>
              <w:rPr>
                <w:b/>
              </w:rPr>
            </w:pPr>
            <w:r>
              <w:rPr>
                <w:b/>
              </w:rPr>
              <w:t>Priority out of 10:</w:t>
            </w:r>
          </w:p>
        </w:tc>
        <w:tc>
          <w:tcPr>
            <w:tcW w:w="1545" w:type="dxa"/>
            <w:tcMar>
              <w:top w:w="100" w:type="dxa"/>
              <w:left w:w="100" w:type="dxa"/>
              <w:bottom w:w="100" w:type="dxa"/>
              <w:right w:w="100" w:type="dxa"/>
            </w:tcMar>
          </w:tcPr>
          <w:p w14:paraId="1ABD252A" w14:textId="77777777" w:rsidR="0073045B" w:rsidRDefault="00DE1DEA">
            <w:pPr>
              <w:rPr>
                <w:b/>
              </w:rPr>
            </w:pPr>
            <w:r>
              <w:rPr>
                <w:b/>
              </w:rPr>
              <w:t>Main Question at Hand in the Paragraph</w:t>
            </w:r>
          </w:p>
        </w:tc>
        <w:tc>
          <w:tcPr>
            <w:tcW w:w="1245" w:type="dxa"/>
            <w:tcMar>
              <w:top w:w="100" w:type="dxa"/>
              <w:left w:w="100" w:type="dxa"/>
              <w:bottom w:w="100" w:type="dxa"/>
              <w:right w:w="100" w:type="dxa"/>
            </w:tcMar>
          </w:tcPr>
          <w:p w14:paraId="654778F3" w14:textId="77777777" w:rsidR="0073045B" w:rsidRDefault="00DE1DEA">
            <w:pPr>
              <w:widowControl w:val="0"/>
              <w:spacing w:line="240" w:lineRule="auto"/>
              <w:rPr>
                <w:b/>
              </w:rPr>
            </w:pPr>
            <w:r>
              <w:rPr>
                <w:b/>
              </w:rPr>
              <w:t>Agree or Disagree?</w:t>
            </w:r>
          </w:p>
        </w:tc>
        <w:tc>
          <w:tcPr>
            <w:tcW w:w="3885" w:type="dxa"/>
            <w:tcMar>
              <w:top w:w="100" w:type="dxa"/>
              <w:left w:w="100" w:type="dxa"/>
              <w:bottom w:w="100" w:type="dxa"/>
              <w:right w:w="100" w:type="dxa"/>
            </w:tcMar>
          </w:tcPr>
          <w:p w14:paraId="01F7E111" w14:textId="77777777" w:rsidR="0073045B" w:rsidRDefault="00DE1DEA">
            <w:pPr>
              <w:widowControl w:val="0"/>
              <w:spacing w:line="240" w:lineRule="auto"/>
            </w:pPr>
            <w:r>
              <w:rPr>
                <w:b/>
              </w:rPr>
              <w:t>Reasoning/Explanation</w:t>
            </w:r>
          </w:p>
        </w:tc>
      </w:tr>
      <w:tr w:rsidR="0073045B" w14:paraId="0FA8FE3B" w14:textId="77777777">
        <w:tc>
          <w:tcPr>
            <w:tcW w:w="1348" w:type="dxa"/>
            <w:tcMar>
              <w:top w:w="100" w:type="dxa"/>
              <w:left w:w="100" w:type="dxa"/>
              <w:bottom w:w="100" w:type="dxa"/>
              <w:right w:w="100" w:type="dxa"/>
            </w:tcMar>
          </w:tcPr>
          <w:p w14:paraId="1D7BD338" w14:textId="77777777" w:rsidR="0073045B" w:rsidRDefault="0073045B"/>
          <w:p w14:paraId="3262BC93" w14:textId="77777777" w:rsidR="0073045B" w:rsidRDefault="00DE1DEA">
            <w:pPr>
              <w:widowControl w:val="0"/>
              <w:spacing w:line="240" w:lineRule="auto"/>
            </w:pPr>
            <w:r>
              <w:t>1</w:t>
            </w:r>
          </w:p>
        </w:tc>
        <w:tc>
          <w:tcPr>
            <w:tcW w:w="1348" w:type="dxa"/>
            <w:tcMar>
              <w:top w:w="100" w:type="dxa"/>
              <w:left w:w="100" w:type="dxa"/>
              <w:bottom w:w="100" w:type="dxa"/>
              <w:right w:w="100" w:type="dxa"/>
            </w:tcMar>
          </w:tcPr>
          <w:p w14:paraId="10E913D8" w14:textId="77777777" w:rsidR="0073045B" w:rsidRDefault="00DE1DEA">
            <w:r>
              <w:t>7.75</w:t>
            </w:r>
          </w:p>
        </w:tc>
        <w:tc>
          <w:tcPr>
            <w:tcW w:w="1545" w:type="dxa"/>
            <w:tcMar>
              <w:top w:w="100" w:type="dxa"/>
              <w:left w:w="100" w:type="dxa"/>
              <w:bottom w:w="100" w:type="dxa"/>
              <w:right w:w="100" w:type="dxa"/>
            </w:tcMar>
          </w:tcPr>
          <w:p w14:paraId="58AB0109" w14:textId="77777777" w:rsidR="0073045B" w:rsidRDefault="00DE1DEA">
            <w:pPr>
              <w:widowControl w:val="0"/>
              <w:spacing w:line="240" w:lineRule="auto"/>
            </w:pPr>
            <w:r>
              <w:t xml:space="preserve">Can Poland deal with a global </w:t>
            </w:r>
            <w:proofErr w:type="spellStart"/>
            <w:r>
              <w:t>stocktake</w:t>
            </w:r>
            <w:proofErr w:type="spellEnd"/>
            <w:r>
              <w:t xml:space="preserve"> every 2 years starting in 2019?</w:t>
            </w:r>
          </w:p>
        </w:tc>
        <w:tc>
          <w:tcPr>
            <w:tcW w:w="1245" w:type="dxa"/>
            <w:tcMar>
              <w:top w:w="100" w:type="dxa"/>
              <w:left w:w="100" w:type="dxa"/>
              <w:bottom w:w="100" w:type="dxa"/>
              <w:right w:w="100" w:type="dxa"/>
            </w:tcMar>
          </w:tcPr>
          <w:p w14:paraId="33539F9F" w14:textId="77777777" w:rsidR="0073045B" w:rsidRDefault="00DE1DEA">
            <w:pPr>
              <w:widowControl w:val="0"/>
              <w:spacing w:line="240" w:lineRule="auto"/>
            </w:pPr>
            <w:r>
              <w:t>Disagree.</w:t>
            </w:r>
          </w:p>
        </w:tc>
        <w:tc>
          <w:tcPr>
            <w:tcW w:w="3885" w:type="dxa"/>
            <w:tcMar>
              <w:top w:w="100" w:type="dxa"/>
              <w:left w:w="100" w:type="dxa"/>
              <w:bottom w:w="100" w:type="dxa"/>
              <w:right w:w="100" w:type="dxa"/>
            </w:tcMar>
          </w:tcPr>
          <w:p w14:paraId="2A1F5913" w14:textId="77777777" w:rsidR="0073045B" w:rsidRDefault="00DE1DEA">
            <w:pPr>
              <w:widowControl w:val="0"/>
              <w:spacing w:line="240" w:lineRule="auto"/>
            </w:pPr>
            <w:r>
              <w:t xml:space="preserve">Poland’s greenhouse gas emissions have been relatively constant in the past couple of decades. Major pollutant today. </w:t>
            </w:r>
            <w:r>
              <w:rPr>
                <w:b/>
              </w:rPr>
              <w:t>At best</w:t>
            </w:r>
            <w:r>
              <w:t>,</w:t>
            </w:r>
            <w:r>
              <w:rPr>
                <w:b/>
              </w:rPr>
              <w:t xml:space="preserve"> Poland should probably create a plan to reduce greenhouse gas emissions and find</w:t>
            </w:r>
            <w:r>
              <w:t xml:space="preserve"> </w:t>
            </w:r>
            <w:r>
              <w:rPr>
                <w:b/>
              </w:rPr>
              <w:t>another renewable energy source.</w:t>
            </w:r>
            <w:r>
              <w:t xml:space="preserve"> </w:t>
            </w:r>
          </w:p>
        </w:tc>
      </w:tr>
      <w:tr w:rsidR="0073045B" w14:paraId="6809D62F" w14:textId="77777777">
        <w:tc>
          <w:tcPr>
            <w:tcW w:w="1348" w:type="dxa"/>
            <w:tcMar>
              <w:top w:w="100" w:type="dxa"/>
              <w:left w:w="100" w:type="dxa"/>
              <w:bottom w:w="100" w:type="dxa"/>
              <w:right w:w="100" w:type="dxa"/>
            </w:tcMar>
          </w:tcPr>
          <w:p w14:paraId="612DC61E" w14:textId="77777777" w:rsidR="0073045B" w:rsidRDefault="00DE1DEA">
            <w:pPr>
              <w:widowControl w:val="0"/>
              <w:spacing w:line="240" w:lineRule="auto"/>
            </w:pPr>
            <w:r>
              <w:t>3</w:t>
            </w:r>
          </w:p>
        </w:tc>
        <w:tc>
          <w:tcPr>
            <w:tcW w:w="1348" w:type="dxa"/>
            <w:tcMar>
              <w:top w:w="100" w:type="dxa"/>
              <w:left w:w="100" w:type="dxa"/>
              <w:bottom w:w="100" w:type="dxa"/>
              <w:right w:w="100" w:type="dxa"/>
            </w:tcMar>
          </w:tcPr>
          <w:p w14:paraId="34165EF1" w14:textId="77777777" w:rsidR="0073045B" w:rsidRDefault="00DE1DEA">
            <w:pPr>
              <w:widowControl w:val="0"/>
              <w:spacing w:line="240" w:lineRule="auto"/>
            </w:pPr>
            <w:r>
              <w:t>6</w:t>
            </w:r>
          </w:p>
        </w:tc>
        <w:tc>
          <w:tcPr>
            <w:tcW w:w="1545" w:type="dxa"/>
            <w:tcMar>
              <w:top w:w="100" w:type="dxa"/>
              <w:left w:w="100" w:type="dxa"/>
              <w:bottom w:w="100" w:type="dxa"/>
              <w:right w:w="100" w:type="dxa"/>
            </w:tcMar>
          </w:tcPr>
          <w:p w14:paraId="5945088F" w14:textId="77777777" w:rsidR="0073045B" w:rsidRDefault="00DE1DEA">
            <w:pPr>
              <w:widowControl w:val="0"/>
              <w:spacing w:line="240" w:lineRule="auto"/>
            </w:pPr>
            <w:r>
              <w:t>Will Poland submit their NDC by 2018?</w:t>
            </w:r>
          </w:p>
        </w:tc>
        <w:tc>
          <w:tcPr>
            <w:tcW w:w="1245" w:type="dxa"/>
            <w:tcMar>
              <w:top w:w="100" w:type="dxa"/>
              <w:left w:w="100" w:type="dxa"/>
              <w:bottom w:w="100" w:type="dxa"/>
              <w:right w:w="100" w:type="dxa"/>
            </w:tcMar>
          </w:tcPr>
          <w:p w14:paraId="48663AF4" w14:textId="77777777" w:rsidR="0073045B" w:rsidRDefault="00DE1DEA">
            <w:pPr>
              <w:widowControl w:val="0"/>
              <w:spacing w:line="240" w:lineRule="auto"/>
            </w:pPr>
            <w:r>
              <w:t>Agree.</w:t>
            </w:r>
          </w:p>
        </w:tc>
        <w:tc>
          <w:tcPr>
            <w:tcW w:w="3885" w:type="dxa"/>
            <w:tcMar>
              <w:top w:w="100" w:type="dxa"/>
              <w:left w:w="100" w:type="dxa"/>
              <w:bottom w:w="100" w:type="dxa"/>
              <w:right w:w="100" w:type="dxa"/>
            </w:tcMar>
          </w:tcPr>
          <w:p w14:paraId="14F076CA" w14:textId="77777777" w:rsidR="0073045B" w:rsidRDefault="00DE1DEA">
            <w:pPr>
              <w:widowControl w:val="0"/>
              <w:spacing w:line="240" w:lineRule="auto"/>
            </w:pPr>
            <w:r>
              <w:t xml:space="preserve">Poland </w:t>
            </w:r>
            <w:r>
              <w:rPr>
                <w:b/>
              </w:rPr>
              <w:t xml:space="preserve">already </w:t>
            </w:r>
            <w:r>
              <w:t xml:space="preserve">submitted their agreed </w:t>
            </w:r>
            <w:r>
              <w:rPr>
                <w:b/>
              </w:rPr>
              <w:t>INDC of reducing domestic greenhouse gases by 40% by 2030 compared to 1990</w:t>
            </w:r>
            <w:r>
              <w:t>. Jumped on the bandwagon with the EU rather than submitting its own commitment. EU’s NDC is not created yet.</w:t>
            </w:r>
          </w:p>
        </w:tc>
      </w:tr>
      <w:tr w:rsidR="0073045B" w14:paraId="735F7AA2" w14:textId="77777777">
        <w:tc>
          <w:tcPr>
            <w:tcW w:w="1348" w:type="dxa"/>
            <w:tcMar>
              <w:top w:w="100" w:type="dxa"/>
              <w:left w:w="100" w:type="dxa"/>
              <w:bottom w:w="100" w:type="dxa"/>
              <w:right w:w="100" w:type="dxa"/>
            </w:tcMar>
          </w:tcPr>
          <w:p w14:paraId="5C6AA8C2" w14:textId="77777777" w:rsidR="0073045B" w:rsidRDefault="00DE1DEA">
            <w:pPr>
              <w:widowControl w:val="0"/>
              <w:spacing w:line="240" w:lineRule="auto"/>
            </w:pPr>
            <w:r>
              <w:t>4</w:t>
            </w:r>
          </w:p>
        </w:tc>
        <w:tc>
          <w:tcPr>
            <w:tcW w:w="1348" w:type="dxa"/>
            <w:tcMar>
              <w:top w:w="100" w:type="dxa"/>
              <w:left w:w="100" w:type="dxa"/>
              <w:bottom w:w="100" w:type="dxa"/>
              <w:right w:w="100" w:type="dxa"/>
            </w:tcMar>
          </w:tcPr>
          <w:p w14:paraId="02D8F299" w14:textId="77777777" w:rsidR="0073045B" w:rsidRDefault="00DE1DEA">
            <w:pPr>
              <w:widowControl w:val="0"/>
              <w:spacing w:line="240" w:lineRule="auto"/>
            </w:pPr>
            <w:r>
              <w:t>6</w:t>
            </w:r>
          </w:p>
        </w:tc>
        <w:tc>
          <w:tcPr>
            <w:tcW w:w="1545" w:type="dxa"/>
            <w:tcMar>
              <w:top w:w="100" w:type="dxa"/>
              <w:left w:w="100" w:type="dxa"/>
              <w:bottom w:w="100" w:type="dxa"/>
              <w:right w:w="100" w:type="dxa"/>
            </w:tcMar>
          </w:tcPr>
          <w:p w14:paraId="57DF7C12" w14:textId="77777777" w:rsidR="0073045B" w:rsidRDefault="00DE1DEA">
            <w:pPr>
              <w:widowControl w:val="0"/>
              <w:spacing w:line="240" w:lineRule="auto"/>
            </w:pPr>
            <w:r>
              <w:t xml:space="preserve">Can </w:t>
            </w:r>
            <w:proofErr w:type="gramStart"/>
            <w:r>
              <w:t>Poland  bind</w:t>
            </w:r>
            <w:proofErr w:type="gramEnd"/>
            <w:r>
              <w:t xml:space="preserve"> themselves to their INDC?</w:t>
            </w:r>
          </w:p>
        </w:tc>
        <w:tc>
          <w:tcPr>
            <w:tcW w:w="1245" w:type="dxa"/>
            <w:tcMar>
              <w:top w:w="100" w:type="dxa"/>
              <w:left w:w="100" w:type="dxa"/>
              <w:bottom w:w="100" w:type="dxa"/>
              <w:right w:w="100" w:type="dxa"/>
            </w:tcMar>
          </w:tcPr>
          <w:p w14:paraId="33A7A9FD" w14:textId="77777777" w:rsidR="0073045B" w:rsidRDefault="00DE1DEA">
            <w:pPr>
              <w:widowControl w:val="0"/>
              <w:spacing w:line="240" w:lineRule="auto"/>
            </w:pPr>
            <w:r>
              <w:t>Disagree.</w:t>
            </w:r>
          </w:p>
        </w:tc>
        <w:tc>
          <w:tcPr>
            <w:tcW w:w="3885" w:type="dxa"/>
            <w:tcMar>
              <w:top w:w="100" w:type="dxa"/>
              <w:left w:w="100" w:type="dxa"/>
              <w:bottom w:w="100" w:type="dxa"/>
              <w:right w:w="100" w:type="dxa"/>
            </w:tcMar>
          </w:tcPr>
          <w:p w14:paraId="42312B86" w14:textId="77777777" w:rsidR="0073045B" w:rsidRDefault="00DE1DEA">
            <w:pPr>
              <w:widowControl w:val="0"/>
              <w:spacing w:line="240" w:lineRule="auto"/>
              <w:rPr>
                <w:b/>
              </w:rPr>
            </w:pPr>
            <w:r>
              <w:t xml:space="preserve">Ideally, Poland should agree to this paragraph. But, the paragraph is a bit too rigid. Poland should </w:t>
            </w:r>
            <w:r>
              <w:rPr>
                <w:b/>
              </w:rPr>
              <w:t xml:space="preserve">try </w:t>
            </w:r>
            <w:r>
              <w:t xml:space="preserve">to follow through, but just in case, it should receive aid from other EU countries (and/or beyond). Poland is in a gray area in regards to development. As such, the NDCs for countries that are not fully developed should not be </w:t>
            </w:r>
            <w:r>
              <w:rPr>
                <w:i/>
              </w:rPr>
              <w:t xml:space="preserve">too </w:t>
            </w:r>
            <w:r>
              <w:t xml:space="preserve">binding. </w:t>
            </w:r>
            <w:r>
              <w:rPr>
                <w:b/>
              </w:rPr>
              <w:t>Developed countries that can afford a binding commitment should agree to one by all means.</w:t>
            </w:r>
          </w:p>
        </w:tc>
      </w:tr>
      <w:tr w:rsidR="0073045B" w14:paraId="7A11720C" w14:textId="77777777">
        <w:tc>
          <w:tcPr>
            <w:tcW w:w="1348" w:type="dxa"/>
            <w:tcMar>
              <w:top w:w="100" w:type="dxa"/>
              <w:left w:w="100" w:type="dxa"/>
              <w:bottom w:w="100" w:type="dxa"/>
              <w:right w:w="100" w:type="dxa"/>
            </w:tcMar>
          </w:tcPr>
          <w:p w14:paraId="30F09994" w14:textId="77777777" w:rsidR="0073045B" w:rsidRDefault="00DE1DEA">
            <w:pPr>
              <w:widowControl w:val="0"/>
              <w:spacing w:line="240" w:lineRule="auto"/>
            </w:pPr>
            <w:r>
              <w:t>5</w:t>
            </w:r>
          </w:p>
        </w:tc>
        <w:tc>
          <w:tcPr>
            <w:tcW w:w="1348" w:type="dxa"/>
            <w:tcMar>
              <w:top w:w="100" w:type="dxa"/>
              <w:left w:w="100" w:type="dxa"/>
              <w:bottom w:w="100" w:type="dxa"/>
              <w:right w:w="100" w:type="dxa"/>
            </w:tcMar>
          </w:tcPr>
          <w:p w14:paraId="19409F01" w14:textId="77777777" w:rsidR="0073045B" w:rsidRDefault="00DE1DEA">
            <w:pPr>
              <w:widowControl w:val="0"/>
              <w:spacing w:line="240" w:lineRule="auto"/>
            </w:pPr>
            <w:r>
              <w:t>5</w:t>
            </w:r>
          </w:p>
        </w:tc>
        <w:tc>
          <w:tcPr>
            <w:tcW w:w="1545" w:type="dxa"/>
            <w:tcMar>
              <w:top w:w="100" w:type="dxa"/>
              <w:left w:w="100" w:type="dxa"/>
              <w:bottom w:w="100" w:type="dxa"/>
              <w:right w:w="100" w:type="dxa"/>
            </w:tcMar>
          </w:tcPr>
          <w:p w14:paraId="5F20B3D7" w14:textId="77777777" w:rsidR="0073045B" w:rsidRDefault="00DE1DEA">
            <w:pPr>
              <w:widowControl w:val="0"/>
              <w:spacing w:line="240" w:lineRule="auto"/>
            </w:pPr>
            <w:r>
              <w:t>Can Poland please UN by completely phasing coal-powered electricity, like Canada?</w:t>
            </w:r>
          </w:p>
        </w:tc>
        <w:tc>
          <w:tcPr>
            <w:tcW w:w="1245" w:type="dxa"/>
            <w:tcMar>
              <w:top w:w="100" w:type="dxa"/>
              <w:left w:w="100" w:type="dxa"/>
              <w:bottom w:w="100" w:type="dxa"/>
              <w:right w:w="100" w:type="dxa"/>
            </w:tcMar>
          </w:tcPr>
          <w:p w14:paraId="04A02E14" w14:textId="77777777" w:rsidR="0073045B" w:rsidRDefault="00DE1DEA">
            <w:pPr>
              <w:widowControl w:val="0"/>
              <w:spacing w:line="240" w:lineRule="auto"/>
            </w:pPr>
            <w:r>
              <w:t>Disagree.</w:t>
            </w:r>
          </w:p>
        </w:tc>
        <w:tc>
          <w:tcPr>
            <w:tcW w:w="3885" w:type="dxa"/>
            <w:tcMar>
              <w:top w:w="100" w:type="dxa"/>
              <w:left w:w="100" w:type="dxa"/>
              <w:bottom w:w="100" w:type="dxa"/>
              <w:right w:w="100" w:type="dxa"/>
            </w:tcMar>
          </w:tcPr>
          <w:p w14:paraId="1014691F" w14:textId="77777777" w:rsidR="0073045B" w:rsidRDefault="00DE1DEA">
            <w:pPr>
              <w:widowControl w:val="0"/>
              <w:spacing w:line="240" w:lineRule="auto"/>
            </w:pPr>
            <w:r>
              <w:t xml:space="preserve">Poland uses a lot of coal for electricity, more than any EU country. Hard coal reserves contain about 21.1 billion tons of coal. Total primary energy supply in 2015 was dominated by coal (50.8%), with oil (24.5%) and gas (14.6%) also taking significant shares followed by wind (1.0%) and hydro (0.2%).  Since the beginning of the 1990s, the Polish mining industry has been trying to stop using too much coal.  Between </w:t>
            </w:r>
            <w:r>
              <w:lastRenderedPageBreak/>
              <w:t xml:space="preserve">1989 and 2015, coal production decreased from 177.4 to 72.2 million tons. During the same period, employment in the Polish hard coal mining industry decreased from 407,000 to 90,000 employees at the end of 2015. </w:t>
            </w:r>
            <w:r>
              <w:rPr>
                <w:b/>
              </w:rPr>
              <w:t>Poland ideally wants to phase coal out; but, sharply cutting it out altogether will take away too many jobs, will crash the economy, and over half of its power will be gone. Too risky!</w:t>
            </w:r>
          </w:p>
        </w:tc>
      </w:tr>
      <w:tr w:rsidR="0073045B" w14:paraId="497F7658" w14:textId="77777777">
        <w:tc>
          <w:tcPr>
            <w:tcW w:w="1348" w:type="dxa"/>
            <w:tcMar>
              <w:top w:w="100" w:type="dxa"/>
              <w:left w:w="100" w:type="dxa"/>
              <w:bottom w:w="100" w:type="dxa"/>
              <w:right w:w="100" w:type="dxa"/>
            </w:tcMar>
          </w:tcPr>
          <w:p w14:paraId="0A512183" w14:textId="77777777" w:rsidR="0073045B" w:rsidRDefault="00DE1DEA">
            <w:pPr>
              <w:widowControl w:val="0"/>
              <w:spacing w:line="240" w:lineRule="auto"/>
            </w:pPr>
            <w:r>
              <w:lastRenderedPageBreak/>
              <w:t>8</w:t>
            </w:r>
          </w:p>
        </w:tc>
        <w:tc>
          <w:tcPr>
            <w:tcW w:w="1348" w:type="dxa"/>
            <w:tcMar>
              <w:top w:w="100" w:type="dxa"/>
              <w:left w:w="100" w:type="dxa"/>
              <w:bottom w:w="100" w:type="dxa"/>
              <w:right w:w="100" w:type="dxa"/>
            </w:tcMar>
          </w:tcPr>
          <w:p w14:paraId="657F4879" w14:textId="77777777" w:rsidR="0073045B" w:rsidRDefault="00DE1DEA">
            <w:pPr>
              <w:widowControl w:val="0"/>
              <w:spacing w:line="240" w:lineRule="auto"/>
            </w:pPr>
            <w:r>
              <w:t>6</w:t>
            </w:r>
          </w:p>
        </w:tc>
        <w:tc>
          <w:tcPr>
            <w:tcW w:w="1545" w:type="dxa"/>
            <w:tcMar>
              <w:top w:w="100" w:type="dxa"/>
              <w:left w:w="100" w:type="dxa"/>
              <w:bottom w:w="100" w:type="dxa"/>
              <w:right w:w="100" w:type="dxa"/>
            </w:tcMar>
          </w:tcPr>
          <w:p w14:paraId="5F0C3866" w14:textId="77777777" w:rsidR="0073045B" w:rsidRDefault="00DE1DEA">
            <w:pPr>
              <w:widowControl w:val="0"/>
              <w:spacing w:line="240" w:lineRule="auto"/>
            </w:pPr>
            <w:r>
              <w:t>Is Poland a part of IMO meetings? If so, will Poland implement the North/Baltic Sea legislation?</w:t>
            </w:r>
          </w:p>
        </w:tc>
        <w:tc>
          <w:tcPr>
            <w:tcW w:w="1245" w:type="dxa"/>
            <w:tcMar>
              <w:top w:w="100" w:type="dxa"/>
              <w:left w:w="100" w:type="dxa"/>
              <w:bottom w:w="100" w:type="dxa"/>
              <w:right w:w="100" w:type="dxa"/>
            </w:tcMar>
          </w:tcPr>
          <w:p w14:paraId="72DC9737" w14:textId="77777777" w:rsidR="0073045B" w:rsidRDefault="00DE1DEA">
            <w:pPr>
              <w:widowControl w:val="0"/>
              <w:spacing w:line="240" w:lineRule="auto"/>
            </w:pPr>
            <w:r>
              <w:t>Agree.</w:t>
            </w:r>
          </w:p>
        </w:tc>
        <w:tc>
          <w:tcPr>
            <w:tcW w:w="3885" w:type="dxa"/>
            <w:tcMar>
              <w:top w:w="100" w:type="dxa"/>
              <w:left w:w="100" w:type="dxa"/>
              <w:bottom w:w="100" w:type="dxa"/>
              <w:right w:w="100" w:type="dxa"/>
            </w:tcMar>
          </w:tcPr>
          <w:p w14:paraId="13A203FB" w14:textId="77777777" w:rsidR="0073045B" w:rsidRDefault="00DE1DEA">
            <w:pPr>
              <w:widowControl w:val="0"/>
              <w:spacing w:line="240" w:lineRule="auto"/>
            </w:pPr>
            <w:r>
              <w:t xml:space="preserve">Poland has been a member of the IMO since 1960. The Baltic Sea legislation entails “a 0.50% limit on the sulfur content of fuel oil used onboard ships from 1 January 2020, down from 3.50% currently.” Poland committed to reducing its sulfur dioxide levels by 59% for any year from 2020 to 2029 compared to 2005 levels. It also committed to reducing the sulfur dioxide levels by 70% for any year from 2030. As of 2012, Poland emits 99% of its sulfur dioxide from energy use and supply, excluding transport. The company </w:t>
            </w:r>
            <w:proofErr w:type="spellStart"/>
            <w:r>
              <w:t>Neste</w:t>
            </w:r>
            <w:proofErr w:type="spellEnd"/>
            <w:r>
              <w:t xml:space="preserve"> has begun creating low-sulfur </w:t>
            </w:r>
            <w:proofErr w:type="spellStart"/>
            <w:r>
              <w:t>Polferries</w:t>
            </w:r>
            <w:proofErr w:type="spellEnd"/>
            <w:r>
              <w:t>. Thus, Poland has begun working on the goal.</w:t>
            </w:r>
          </w:p>
        </w:tc>
      </w:tr>
      <w:tr w:rsidR="0073045B" w14:paraId="202D9606" w14:textId="77777777">
        <w:tc>
          <w:tcPr>
            <w:tcW w:w="1348" w:type="dxa"/>
            <w:tcMar>
              <w:top w:w="100" w:type="dxa"/>
              <w:left w:w="100" w:type="dxa"/>
              <w:bottom w:w="100" w:type="dxa"/>
              <w:right w:w="100" w:type="dxa"/>
            </w:tcMar>
          </w:tcPr>
          <w:p w14:paraId="39EBF6B8" w14:textId="77777777" w:rsidR="0073045B" w:rsidRDefault="00DE1DEA">
            <w:pPr>
              <w:widowControl w:val="0"/>
              <w:spacing w:line="240" w:lineRule="auto"/>
            </w:pPr>
            <w:r>
              <w:t>11</w:t>
            </w:r>
          </w:p>
        </w:tc>
        <w:tc>
          <w:tcPr>
            <w:tcW w:w="1348" w:type="dxa"/>
            <w:tcMar>
              <w:top w:w="100" w:type="dxa"/>
              <w:left w:w="100" w:type="dxa"/>
              <w:bottom w:w="100" w:type="dxa"/>
              <w:right w:w="100" w:type="dxa"/>
            </w:tcMar>
          </w:tcPr>
          <w:p w14:paraId="2C64C823" w14:textId="77777777" w:rsidR="0073045B" w:rsidRDefault="00DE1DEA">
            <w:pPr>
              <w:widowControl w:val="0"/>
              <w:spacing w:line="240" w:lineRule="auto"/>
            </w:pPr>
            <w:r>
              <w:t>9</w:t>
            </w:r>
          </w:p>
        </w:tc>
        <w:tc>
          <w:tcPr>
            <w:tcW w:w="1545" w:type="dxa"/>
            <w:tcMar>
              <w:top w:w="100" w:type="dxa"/>
              <w:left w:w="100" w:type="dxa"/>
              <w:bottom w:w="100" w:type="dxa"/>
              <w:right w:w="100" w:type="dxa"/>
            </w:tcMar>
          </w:tcPr>
          <w:p w14:paraId="315EB1A5" w14:textId="77777777" w:rsidR="0073045B" w:rsidRDefault="00DE1DEA">
            <w:pPr>
              <w:widowControl w:val="0"/>
              <w:spacing w:line="240" w:lineRule="auto"/>
            </w:pPr>
            <w:r>
              <w:t>Can Poland make a commitment to fully implement a renewable energy source?</w:t>
            </w:r>
          </w:p>
        </w:tc>
        <w:tc>
          <w:tcPr>
            <w:tcW w:w="1245" w:type="dxa"/>
            <w:tcMar>
              <w:top w:w="100" w:type="dxa"/>
              <w:left w:w="100" w:type="dxa"/>
              <w:bottom w:w="100" w:type="dxa"/>
              <w:right w:w="100" w:type="dxa"/>
            </w:tcMar>
          </w:tcPr>
          <w:p w14:paraId="18D1D2FF" w14:textId="77777777" w:rsidR="0073045B" w:rsidRDefault="00DE1DEA">
            <w:pPr>
              <w:widowControl w:val="0"/>
              <w:spacing w:line="240" w:lineRule="auto"/>
            </w:pPr>
            <w:r>
              <w:t>Disagree.</w:t>
            </w:r>
          </w:p>
        </w:tc>
        <w:tc>
          <w:tcPr>
            <w:tcW w:w="3885" w:type="dxa"/>
            <w:tcMar>
              <w:top w:w="100" w:type="dxa"/>
              <w:left w:w="100" w:type="dxa"/>
              <w:bottom w:w="100" w:type="dxa"/>
              <w:right w:w="100" w:type="dxa"/>
            </w:tcMar>
          </w:tcPr>
          <w:p w14:paraId="44984220" w14:textId="77777777" w:rsidR="0073045B" w:rsidRDefault="00DE1DEA">
            <w:pPr>
              <w:widowControl w:val="0"/>
              <w:spacing w:line="240" w:lineRule="auto"/>
            </w:pPr>
            <w:r>
              <w:t>Poland is following the EU’s lead with its INDC. Thus,</w:t>
            </w:r>
            <w:r>
              <w:rPr>
                <w:b/>
              </w:rPr>
              <w:t xml:space="preserve"> it already has made a promise.</w:t>
            </w:r>
            <w:r>
              <w:t xml:space="preserve"> </w:t>
            </w:r>
            <w:r>
              <w:rPr>
                <w:b/>
                <w:u w:val="single"/>
              </w:rPr>
              <w:t>But</w:t>
            </w:r>
            <w:r>
              <w:rPr>
                <w:b/>
              </w:rPr>
              <w:t xml:space="preserve">, </w:t>
            </w:r>
            <w:r>
              <w:t>to go as far as instructing countries to pull off what Denmark did is a tall order. For that to happen, Poland will have to devise a plan.</w:t>
            </w:r>
          </w:p>
        </w:tc>
      </w:tr>
      <w:tr w:rsidR="0073045B" w14:paraId="58F348BF" w14:textId="77777777">
        <w:tc>
          <w:tcPr>
            <w:tcW w:w="1348" w:type="dxa"/>
            <w:tcMar>
              <w:top w:w="100" w:type="dxa"/>
              <w:left w:w="100" w:type="dxa"/>
              <w:bottom w:w="100" w:type="dxa"/>
              <w:right w:w="100" w:type="dxa"/>
            </w:tcMar>
          </w:tcPr>
          <w:p w14:paraId="0FE13A33" w14:textId="77777777" w:rsidR="0073045B" w:rsidRDefault="00DE1DEA">
            <w:pPr>
              <w:widowControl w:val="0"/>
              <w:spacing w:line="240" w:lineRule="auto"/>
            </w:pPr>
            <w:r>
              <w:t>12</w:t>
            </w:r>
          </w:p>
        </w:tc>
        <w:tc>
          <w:tcPr>
            <w:tcW w:w="1348" w:type="dxa"/>
            <w:tcMar>
              <w:top w:w="100" w:type="dxa"/>
              <w:left w:w="100" w:type="dxa"/>
              <w:bottom w:w="100" w:type="dxa"/>
              <w:right w:w="100" w:type="dxa"/>
            </w:tcMar>
          </w:tcPr>
          <w:p w14:paraId="4E827E15" w14:textId="77777777" w:rsidR="0073045B" w:rsidRDefault="00DE1DEA">
            <w:pPr>
              <w:widowControl w:val="0"/>
              <w:spacing w:line="240" w:lineRule="auto"/>
            </w:pPr>
            <w:r>
              <w:t>10</w:t>
            </w:r>
          </w:p>
        </w:tc>
        <w:tc>
          <w:tcPr>
            <w:tcW w:w="1545" w:type="dxa"/>
            <w:tcMar>
              <w:top w:w="100" w:type="dxa"/>
              <w:left w:w="100" w:type="dxa"/>
              <w:bottom w:w="100" w:type="dxa"/>
              <w:right w:w="100" w:type="dxa"/>
            </w:tcMar>
          </w:tcPr>
          <w:p w14:paraId="7F2BD75F" w14:textId="77777777" w:rsidR="0073045B" w:rsidRDefault="00DE1DEA">
            <w:pPr>
              <w:widowControl w:val="0"/>
              <w:spacing w:line="240" w:lineRule="auto"/>
            </w:pPr>
            <w:r>
              <w:t>Can Poland fully commit to funding organizations which help developing countries improve their implementati</w:t>
            </w:r>
            <w:r>
              <w:lastRenderedPageBreak/>
              <w:t xml:space="preserve">on of climate change by </w:t>
            </w:r>
            <w:r>
              <w:rPr>
                <w:b/>
              </w:rPr>
              <w:t>2018</w:t>
            </w:r>
            <w:r>
              <w:t>?</w:t>
            </w:r>
          </w:p>
        </w:tc>
        <w:tc>
          <w:tcPr>
            <w:tcW w:w="1245" w:type="dxa"/>
            <w:tcMar>
              <w:top w:w="100" w:type="dxa"/>
              <w:left w:w="100" w:type="dxa"/>
              <w:bottom w:w="100" w:type="dxa"/>
              <w:right w:w="100" w:type="dxa"/>
            </w:tcMar>
          </w:tcPr>
          <w:p w14:paraId="4FF25F5B" w14:textId="77777777" w:rsidR="0073045B" w:rsidRDefault="00DE1DEA">
            <w:pPr>
              <w:widowControl w:val="0"/>
              <w:spacing w:line="240" w:lineRule="auto"/>
            </w:pPr>
            <w:r>
              <w:lastRenderedPageBreak/>
              <w:t>Agree.</w:t>
            </w:r>
          </w:p>
        </w:tc>
        <w:tc>
          <w:tcPr>
            <w:tcW w:w="3885" w:type="dxa"/>
            <w:tcMar>
              <w:top w:w="100" w:type="dxa"/>
              <w:left w:w="100" w:type="dxa"/>
              <w:bottom w:w="100" w:type="dxa"/>
              <w:right w:w="100" w:type="dxa"/>
            </w:tcMar>
          </w:tcPr>
          <w:p w14:paraId="20410C0A" w14:textId="77777777" w:rsidR="0073045B" w:rsidRDefault="00DE1DEA">
            <w:pPr>
              <w:widowControl w:val="0"/>
              <w:spacing w:line="240" w:lineRule="auto"/>
            </w:pPr>
            <w:r>
              <w:t xml:space="preserve">Poland is a part of the GEF, GCF, and the Adaptation Fund. Poland is not a donor country for the GEF, so it doesn’t have to give any money to it. It receives $84.08 Million from the GEF grant fund. Poland pledged </w:t>
            </w:r>
          </w:p>
          <w:p w14:paraId="7A779746" w14:textId="77777777" w:rsidR="0073045B" w:rsidRDefault="00DE1DEA">
            <w:pPr>
              <w:widowControl w:val="0"/>
              <w:spacing w:line="240" w:lineRule="auto"/>
            </w:pPr>
            <w:r>
              <w:t xml:space="preserve">It can split its dues per capita and add the split dues to everyone’s taxes. Poland will donate about </w:t>
            </w:r>
            <w:r>
              <w:lastRenderedPageBreak/>
              <w:t xml:space="preserve">$100,000 to the GCF. The GCF requires 0.4 PLN, </w:t>
            </w:r>
            <w:r>
              <w:rPr>
                <w:b/>
              </w:rPr>
              <w:t>less than a cent, per capita</w:t>
            </w:r>
            <w:r>
              <w:t xml:space="preserve"> to pay off. They already committed to all 3 organizations. Overall, Poland plans to increase climate finance to $8 million by 2020.</w:t>
            </w:r>
          </w:p>
        </w:tc>
      </w:tr>
    </w:tbl>
    <w:p w14:paraId="083AAC05" w14:textId="77777777" w:rsidR="0073045B" w:rsidRDefault="0073045B">
      <w:pPr>
        <w:rPr>
          <w:sz w:val="26"/>
          <w:szCs w:val="26"/>
        </w:rPr>
      </w:pPr>
    </w:p>
    <w:p w14:paraId="4DE5ED1E" w14:textId="77777777" w:rsidR="0073045B" w:rsidRDefault="00DE1DEA">
      <w:pPr>
        <w:rPr>
          <w:sz w:val="26"/>
          <w:szCs w:val="26"/>
        </w:rPr>
      </w:pPr>
      <w:r>
        <w:rPr>
          <w:sz w:val="26"/>
          <w:szCs w:val="26"/>
        </w:rPr>
        <w:t xml:space="preserve">Sources: </w:t>
      </w:r>
    </w:p>
    <w:p w14:paraId="08C685AC" w14:textId="77777777" w:rsidR="0073045B" w:rsidRDefault="00DE1DEA">
      <w:pPr>
        <w:numPr>
          <w:ilvl w:val="0"/>
          <w:numId w:val="1"/>
        </w:numPr>
        <w:ind w:hanging="360"/>
        <w:contextualSpacing/>
        <w:rPr>
          <w:sz w:val="26"/>
          <w:szCs w:val="26"/>
        </w:rPr>
      </w:pPr>
      <w:r>
        <w:rPr>
          <w:sz w:val="26"/>
          <w:szCs w:val="26"/>
        </w:rPr>
        <w:t>http://www.worldpoliticsreview.com/trend-lines/19942/poland-s-climate-change-approach-is-all-about-protecting-coal</w:t>
      </w:r>
    </w:p>
    <w:p w14:paraId="4302CEEE" w14:textId="77777777" w:rsidR="0073045B" w:rsidRDefault="003D0AF4">
      <w:pPr>
        <w:numPr>
          <w:ilvl w:val="0"/>
          <w:numId w:val="1"/>
        </w:numPr>
        <w:ind w:hanging="360"/>
        <w:contextualSpacing/>
        <w:rPr>
          <w:sz w:val="26"/>
          <w:szCs w:val="26"/>
        </w:rPr>
      </w:pPr>
      <w:hyperlink r:id="rId5">
        <w:r w:rsidR="00DE1DEA">
          <w:rPr>
            <w:color w:val="1155CC"/>
            <w:sz w:val="26"/>
            <w:szCs w:val="26"/>
            <w:u w:val="single"/>
          </w:rPr>
          <w:t>https://en.wikipedia.org/wiki/Paris_Agreement</w:t>
        </w:r>
      </w:hyperlink>
    </w:p>
    <w:p w14:paraId="5DC96A2F" w14:textId="77777777" w:rsidR="0073045B" w:rsidRDefault="003D0AF4">
      <w:pPr>
        <w:numPr>
          <w:ilvl w:val="0"/>
          <w:numId w:val="1"/>
        </w:numPr>
        <w:ind w:hanging="360"/>
        <w:contextualSpacing/>
        <w:rPr>
          <w:sz w:val="26"/>
          <w:szCs w:val="26"/>
        </w:rPr>
      </w:pPr>
      <w:hyperlink r:id="rId6">
        <w:r w:rsidR="00DE1DEA">
          <w:rPr>
            <w:color w:val="1155CC"/>
            <w:sz w:val="26"/>
            <w:szCs w:val="26"/>
            <w:u w:val="single"/>
          </w:rPr>
          <w:t>http://www.climatechangenews.com/2016/09/27/poland-threatens-eu-plan-to-ratify-un-climate-deal/</w:t>
        </w:r>
      </w:hyperlink>
    </w:p>
    <w:p w14:paraId="12FB723B" w14:textId="77777777" w:rsidR="0073045B" w:rsidRDefault="003D0AF4">
      <w:pPr>
        <w:numPr>
          <w:ilvl w:val="0"/>
          <w:numId w:val="1"/>
        </w:numPr>
        <w:ind w:hanging="360"/>
        <w:contextualSpacing/>
        <w:rPr>
          <w:sz w:val="26"/>
          <w:szCs w:val="26"/>
        </w:rPr>
      </w:pPr>
      <w:hyperlink r:id="rId7">
        <w:r w:rsidR="00DE1DEA">
          <w:rPr>
            <w:color w:val="1155CC"/>
            <w:sz w:val="26"/>
            <w:szCs w:val="26"/>
            <w:u w:val="single"/>
          </w:rPr>
          <w:t>http://www.thenews.pl/1/9/Artykul/293759,High-smog-levels-recorded-in-central-and-southern-Poland</w:t>
        </w:r>
      </w:hyperlink>
    </w:p>
    <w:p w14:paraId="5359FD27" w14:textId="77777777" w:rsidR="0073045B" w:rsidRDefault="003D0AF4">
      <w:pPr>
        <w:numPr>
          <w:ilvl w:val="0"/>
          <w:numId w:val="1"/>
        </w:numPr>
        <w:ind w:hanging="360"/>
        <w:contextualSpacing/>
        <w:rPr>
          <w:sz w:val="26"/>
          <w:szCs w:val="26"/>
        </w:rPr>
      </w:pPr>
      <w:hyperlink r:id="rId8">
        <w:r w:rsidR="00DE1DEA">
          <w:rPr>
            <w:color w:val="1155CC"/>
            <w:sz w:val="26"/>
            <w:szCs w:val="26"/>
            <w:u w:val="single"/>
          </w:rPr>
          <w:t>http://www4.unfccc.int/Submissions/INDC/Published%20Documents/Latvia/1/LV-03-06-EU%20INDC.pdf</w:t>
        </w:r>
      </w:hyperlink>
    </w:p>
    <w:p w14:paraId="3E519217" w14:textId="77777777" w:rsidR="0073045B" w:rsidRDefault="003D0AF4">
      <w:pPr>
        <w:numPr>
          <w:ilvl w:val="0"/>
          <w:numId w:val="1"/>
        </w:numPr>
        <w:ind w:hanging="360"/>
        <w:contextualSpacing/>
        <w:rPr>
          <w:sz w:val="26"/>
          <w:szCs w:val="26"/>
        </w:rPr>
      </w:pPr>
      <w:hyperlink r:id="rId9">
        <w:r w:rsidR="00DE1DEA">
          <w:rPr>
            <w:color w:val="1155CC"/>
            <w:sz w:val="26"/>
            <w:szCs w:val="26"/>
            <w:u w:val="single"/>
          </w:rPr>
          <w:t>https://www.statista.com/statistics/411904/annual-greenhouse-gas-emissions-of-the-transport-sector-in-poland/</w:t>
        </w:r>
      </w:hyperlink>
    </w:p>
    <w:p w14:paraId="5A5E5CC9" w14:textId="77777777" w:rsidR="0073045B" w:rsidRDefault="003D0AF4">
      <w:pPr>
        <w:numPr>
          <w:ilvl w:val="0"/>
          <w:numId w:val="1"/>
        </w:numPr>
        <w:ind w:hanging="360"/>
        <w:contextualSpacing/>
        <w:rPr>
          <w:sz w:val="26"/>
          <w:szCs w:val="26"/>
        </w:rPr>
      </w:pPr>
      <w:hyperlink r:id="rId10">
        <w:r w:rsidR="00DE1DEA">
          <w:rPr>
            <w:color w:val="1155CC"/>
            <w:sz w:val="26"/>
            <w:szCs w:val="26"/>
            <w:u w:val="single"/>
          </w:rPr>
          <w:t>https://unfccc.int/files/ghg_emissions_data/application/pdf/pol_ghg_profile.pdf</w:t>
        </w:r>
      </w:hyperlink>
    </w:p>
    <w:p w14:paraId="711A8274" w14:textId="77777777" w:rsidR="0073045B" w:rsidRDefault="003D0AF4">
      <w:pPr>
        <w:numPr>
          <w:ilvl w:val="0"/>
          <w:numId w:val="1"/>
        </w:numPr>
        <w:ind w:hanging="360"/>
        <w:contextualSpacing/>
        <w:rPr>
          <w:sz w:val="26"/>
          <w:szCs w:val="26"/>
        </w:rPr>
      </w:pPr>
      <w:hyperlink r:id="rId11">
        <w:r w:rsidR="00DE1DEA">
          <w:rPr>
            <w:color w:val="1155CC"/>
            <w:sz w:val="26"/>
            <w:szCs w:val="26"/>
            <w:u w:val="single"/>
          </w:rPr>
          <w:t>https://euracoal.eu/info/country-profiles/poland/</w:t>
        </w:r>
      </w:hyperlink>
    </w:p>
    <w:p w14:paraId="210B8A83" w14:textId="77777777" w:rsidR="0073045B" w:rsidRDefault="00DE1DEA">
      <w:pPr>
        <w:numPr>
          <w:ilvl w:val="0"/>
          <w:numId w:val="1"/>
        </w:numPr>
        <w:ind w:hanging="360"/>
        <w:contextualSpacing/>
        <w:rPr>
          <w:sz w:val="26"/>
          <w:szCs w:val="26"/>
        </w:rPr>
      </w:pPr>
      <w:r>
        <w:rPr>
          <w:sz w:val="26"/>
          <w:szCs w:val="26"/>
        </w:rPr>
        <w:t>http://www.imo.org/en/MediaCentre/MeetingSummaries/PPR/Pages/PPR-4th-Session-(global-sulphur-limit-implementation).aspx</w:t>
      </w:r>
    </w:p>
    <w:p w14:paraId="52CD8C7F" w14:textId="77777777" w:rsidR="0073045B" w:rsidRDefault="003D0AF4">
      <w:pPr>
        <w:numPr>
          <w:ilvl w:val="0"/>
          <w:numId w:val="1"/>
        </w:numPr>
        <w:ind w:hanging="360"/>
        <w:contextualSpacing/>
        <w:rPr>
          <w:sz w:val="26"/>
          <w:szCs w:val="26"/>
        </w:rPr>
      </w:pPr>
      <w:hyperlink r:id="rId12">
        <w:r w:rsidR="00DE1DEA">
          <w:rPr>
            <w:color w:val="1155CC"/>
            <w:sz w:val="26"/>
            <w:szCs w:val="26"/>
            <w:u w:val="single"/>
          </w:rPr>
          <w:t>http://www.commondreams.org/views/2016/07/15/little-known-fund-heart-paris-climate-agreement</w:t>
        </w:r>
      </w:hyperlink>
    </w:p>
    <w:p w14:paraId="3293B3DD" w14:textId="77777777" w:rsidR="0073045B" w:rsidRDefault="003D0AF4">
      <w:pPr>
        <w:numPr>
          <w:ilvl w:val="0"/>
          <w:numId w:val="1"/>
        </w:numPr>
        <w:ind w:hanging="360"/>
        <w:contextualSpacing/>
        <w:rPr>
          <w:sz w:val="26"/>
          <w:szCs w:val="26"/>
        </w:rPr>
      </w:pPr>
      <w:hyperlink r:id="rId13">
        <w:r w:rsidR="00DE1DEA">
          <w:rPr>
            <w:color w:val="1155CC"/>
            <w:sz w:val="26"/>
            <w:szCs w:val="26"/>
            <w:u w:val="single"/>
          </w:rPr>
          <w:t>http://www.wri.org/blog/2015/12/3-ways-help-developing-countries-get-direct-access-climate-finance</w:t>
        </w:r>
      </w:hyperlink>
    </w:p>
    <w:p w14:paraId="6767E2F3" w14:textId="77777777" w:rsidR="0073045B" w:rsidRDefault="003D0AF4">
      <w:pPr>
        <w:numPr>
          <w:ilvl w:val="0"/>
          <w:numId w:val="1"/>
        </w:numPr>
        <w:ind w:hanging="360"/>
        <w:contextualSpacing/>
        <w:rPr>
          <w:sz w:val="26"/>
          <w:szCs w:val="26"/>
        </w:rPr>
      </w:pPr>
      <w:hyperlink r:id="rId14">
        <w:r w:rsidR="00DE1DEA">
          <w:rPr>
            <w:color w:val="1155CC"/>
            <w:sz w:val="26"/>
            <w:szCs w:val="26"/>
            <w:u w:val="single"/>
          </w:rPr>
          <w:t>https://www.pol-int.org/en/salon/polish-views-climate-policy-en</w:t>
        </w:r>
      </w:hyperlink>
    </w:p>
    <w:p w14:paraId="177A70ED" w14:textId="77777777" w:rsidR="0073045B" w:rsidRDefault="003D0AF4">
      <w:pPr>
        <w:numPr>
          <w:ilvl w:val="0"/>
          <w:numId w:val="1"/>
        </w:numPr>
        <w:ind w:hanging="360"/>
        <w:contextualSpacing/>
        <w:rPr>
          <w:sz w:val="26"/>
          <w:szCs w:val="26"/>
        </w:rPr>
      </w:pPr>
      <w:hyperlink r:id="rId15">
        <w:r w:rsidR="00DE1DEA">
          <w:rPr>
            <w:color w:val="1155CC"/>
            <w:sz w:val="26"/>
            <w:szCs w:val="26"/>
            <w:u w:val="single"/>
          </w:rPr>
          <w:t>https://www.thegef.org/country/poland</w:t>
        </w:r>
      </w:hyperlink>
    </w:p>
    <w:p w14:paraId="4F4AF61C" w14:textId="77777777" w:rsidR="0073045B" w:rsidRDefault="003D0AF4">
      <w:pPr>
        <w:numPr>
          <w:ilvl w:val="0"/>
          <w:numId w:val="1"/>
        </w:numPr>
        <w:ind w:hanging="360"/>
        <w:contextualSpacing/>
        <w:rPr>
          <w:sz w:val="26"/>
          <w:szCs w:val="26"/>
        </w:rPr>
      </w:pPr>
      <w:hyperlink r:id="rId16">
        <w:r w:rsidR="00DE1DEA">
          <w:rPr>
            <w:color w:val="1155CC"/>
            <w:sz w:val="26"/>
            <w:szCs w:val="26"/>
            <w:u w:val="single"/>
          </w:rPr>
          <w:t>http://www.greenclimate.fund/partners/contributors/resources-mobilized</w:t>
        </w:r>
      </w:hyperlink>
    </w:p>
    <w:p w14:paraId="09D06AFD" w14:textId="77777777" w:rsidR="0073045B" w:rsidRDefault="003D0AF4">
      <w:pPr>
        <w:numPr>
          <w:ilvl w:val="0"/>
          <w:numId w:val="1"/>
        </w:numPr>
        <w:ind w:hanging="360"/>
        <w:contextualSpacing/>
        <w:rPr>
          <w:sz w:val="26"/>
          <w:szCs w:val="26"/>
        </w:rPr>
      </w:pPr>
      <w:hyperlink r:id="rId17">
        <w:r w:rsidR="00DE1DEA">
          <w:rPr>
            <w:color w:val="1155CC"/>
            <w:sz w:val="26"/>
            <w:szCs w:val="26"/>
            <w:u w:val="single"/>
          </w:rPr>
          <w:t>http://cphpost.dk/news/danish-pressure-leads-to-less-shipping-pollution-in-baltic-and-north-seas.html</w:t>
        </w:r>
      </w:hyperlink>
    </w:p>
    <w:p w14:paraId="1BA52515" w14:textId="77777777" w:rsidR="0073045B" w:rsidRDefault="003D0AF4">
      <w:pPr>
        <w:numPr>
          <w:ilvl w:val="0"/>
          <w:numId w:val="1"/>
        </w:numPr>
        <w:ind w:hanging="360"/>
        <w:contextualSpacing/>
        <w:rPr>
          <w:sz w:val="26"/>
          <w:szCs w:val="26"/>
        </w:rPr>
      </w:pPr>
      <w:hyperlink r:id="rId18">
        <w:r w:rsidR="00DE1DEA">
          <w:rPr>
            <w:color w:val="1155CC"/>
            <w:sz w:val="26"/>
            <w:szCs w:val="26"/>
            <w:u w:val="single"/>
          </w:rPr>
          <w:t>http://unfccc.int/cooperation_and_support/financial_mechanism/items/2807.php</w:t>
        </w:r>
      </w:hyperlink>
    </w:p>
    <w:p w14:paraId="298C60CF" w14:textId="77777777" w:rsidR="0073045B" w:rsidRDefault="003D0AF4">
      <w:pPr>
        <w:numPr>
          <w:ilvl w:val="0"/>
          <w:numId w:val="1"/>
        </w:numPr>
        <w:ind w:hanging="360"/>
        <w:contextualSpacing/>
        <w:rPr>
          <w:sz w:val="26"/>
          <w:szCs w:val="26"/>
        </w:rPr>
      </w:pPr>
      <w:hyperlink r:id="rId19">
        <w:r w:rsidR="00DE1DEA">
          <w:rPr>
            <w:color w:val="1155CC"/>
            <w:sz w:val="26"/>
            <w:szCs w:val="26"/>
            <w:u w:val="single"/>
          </w:rPr>
          <w:t>http://www.climate-energy-college.net/files/site1/factsheets/Poland_INDCFactsheet_UoM-PRIMAP_GWPAR4.pdf</w:t>
        </w:r>
      </w:hyperlink>
    </w:p>
    <w:p w14:paraId="096AB84C" w14:textId="77777777" w:rsidR="0073045B" w:rsidRDefault="003D0AF4">
      <w:pPr>
        <w:numPr>
          <w:ilvl w:val="0"/>
          <w:numId w:val="1"/>
        </w:numPr>
        <w:ind w:hanging="360"/>
        <w:contextualSpacing/>
        <w:rPr>
          <w:sz w:val="26"/>
          <w:szCs w:val="26"/>
        </w:rPr>
      </w:pPr>
      <w:hyperlink r:id="rId20">
        <w:r w:rsidR="00DE1DEA">
          <w:rPr>
            <w:color w:val="1155CC"/>
            <w:sz w:val="26"/>
            <w:szCs w:val="26"/>
            <w:u w:val="single"/>
          </w:rPr>
          <w:t>http://helcom.fi/Lists/Publications/BSEP145_Lowres.pdf</w:t>
        </w:r>
      </w:hyperlink>
    </w:p>
    <w:p w14:paraId="5E2CFFF1" w14:textId="77777777" w:rsidR="0073045B" w:rsidRDefault="003D0AF4">
      <w:pPr>
        <w:numPr>
          <w:ilvl w:val="0"/>
          <w:numId w:val="1"/>
        </w:numPr>
        <w:ind w:hanging="360"/>
        <w:contextualSpacing/>
        <w:rPr>
          <w:sz w:val="26"/>
          <w:szCs w:val="26"/>
        </w:rPr>
      </w:pPr>
      <w:hyperlink r:id="rId21">
        <w:r w:rsidR="00DE1DEA">
          <w:rPr>
            <w:color w:val="1155CC"/>
            <w:sz w:val="26"/>
            <w:szCs w:val="26"/>
            <w:u w:val="single"/>
          </w:rPr>
          <w:t>http://www.renewableenergyfocus.com/view/44664/reforming-poland-s-renewable-industry/</w:t>
        </w:r>
      </w:hyperlink>
    </w:p>
    <w:p w14:paraId="7F63B390" w14:textId="77777777" w:rsidR="0073045B" w:rsidRDefault="003D0AF4">
      <w:pPr>
        <w:numPr>
          <w:ilvl w:val="0"/>
          <w:numId w:val="1"/>
        </w:numPr>
        <w:ind w:hanging="360"/>
        <w:contextualSpacing/>
        <w:rPr>
          <w:sz w:val="26"/>
          <w:szCs w:val="26"/>
        </w:rPr>
      </w:pPr>
      <w:hyperlink r:id="rId22">
        <w:r w:rsidR="00DE1DEA">
          <w:rPr>
            <w:color w:val="1155CC"/>
            <w:sz w:val="26"/>
            <w:szCs w:val="26"/>
            <w:u w:val="single"/>
          </w:rPr>
          <w:t>https://www.iea.org/countries/membercountries/poland/</w:t>
        </w:r>
      </w:hyperlink>
    </w:p>
    <w:p w14:paraId="2EEC948C" w14:textId="77777777" w:rsidR="0073045B" w:rsidRDefault="003D0AF4">
      <w:pPr>
        <w:numPr>
          <w:ilvl w:val="0"/>
          <w:numId w:val="1"/>
        </w:numPr>
        <w:ind w:hanging="360"/>
        <w:contextualSpacing/>
        <w:rPr>
          <w:sz w:val="26"/>
          <w:szCs w:val="26"/>
        </w:rPr>
      </w:pPr>
      <w:hyperlink r:id="rId23">
        <w:r w:rsidR="00DE1DEA">
          <w:rPr>
            <w:color w:val="1155CC"/>
            <w:sz w:val="26"/>
            <w:szCs w:val="26"/>
            <w:u w:val="single"/>
          </w:rPr>
          <w:t>https://en.wikipedia.org/wiki/National_Renewable_Energy_Action_Plan</w:t>
        </w:r>
      </w:hyperlink>
    </w:p>
    <w:p w14:paraId="450B94CD" w14:textId="77777777" w:rsidR="0073045B" w:rsidRDefault="003D0AF4">
      <w:pPr>
        <w:numPr>
          <w:ilvl w:val="0"/>
          <w:numId w:val="1"/>
        </w:numPr>
        <w:ind w:hanging="360"/>
        <w:contextualSpacing/>
        <w:rPr>
          <w:sz w:val="26"/>
          <w:szCs w:val="26"/>
        </w:rPr>
      </w:pPr>
      <w:hyperlink r:id="rId24">
        <w:r w:rsidR="00DE1DEA">
          <w:rPr>
            <w:color w:val="1155CC"/>
            <w:sz w:val="26"/>
            <w:szCs w:val="26"/>
            <w:u w:val="single"/>
          </w:rPr>
          <w:t>https://en.wikipedia.org/wiki/Poland_National_Renewable_Energy_Action_Plan</w:t>
        </w:r>
      </w:hyperlink>
    </w:p>
    <w:p w14:paraId="6858636C" w14:textId="77777777" w:rsidR="0073045B" w:rsidRDefault="003D0AF4">
      <w:pPr>
        <w:numPr>
          <w:ilvl w:val="0"/>
          <w:numId w:val="1"/>
        </w:numPr>
        <w:ind w:hanging="360"/>
        <w:contextualSpacing/>
        <w:rPr>
          <w:sz w:val="26"/>
          <w:szCs w:val="26"/>
        </w:rPr>
      </w:pPr>
      <w:hyperlink r:id="rId25">
        <w:r w:rsidR="00DE1DEA">
          <w:rPr>
            <w:color w:val="1155CC"/>
            <w:sz w:val="26"/>
            <w:szCs w:val="26"/>
            <w:u w:val="single"/>
          </w:rPr>
          <w:t>https://insideclimatenews.org/content/green-climate-fund-glance</w:t>
        </w:r>
      </w:hyperlink>
      <w:r w:rsidR="00DE1DEA">
        <w:rPr>
          <w:sz w:val="26"/>
          <w:szCs w:val="26"/>
        </w:rPr>
        <w:t xml:space="preserve"> </w:t>
      </w:r>
    </w:p>
    <w:p w14:paraId="21EB161B" w14:textId="77777777" w:rsidR="0073045B" w:rsidRDefault="003D0AF4">
      <w:pPr>
        <w:numPr>
          <w:ilvl w:val="0"/>
          <w:numId w:val="1"/>
        </w:numPr>
        <w:ind w:hanging="360"/>
        <w:contextualSpacing/>
        <w:rPr>
          <w:sz w:val="26"/>
          <w:szCs w:val="26"/>
        </w:rPr>
      </w:pPr>
      <w:hyperlink r:id="rId26">
        <w:r w:rsidR="00DE1DEA">
          <w:rPr>
            <w:color w:val="1155CC"/>
            <w:sz w:val="26"/>
            <w:szCs w:val="26"/>
            <w:u w:val="single"/>
          </w:rPr>
          <w:t>https://www.greenclimate.fund/documents/20182/24868/Status_of_Pledges.pdf/eef538d3-2987-4659-8c7c-5566ed6afd19</w:t>
        </w:r>
      </w:hyperlink>
    </w:p>
    <w:p w14:paraId="52BBC48D" w14:textId="77777777" w:rsidR="0073045B" w:rsidRDefault="003D0AF4">
      <w:pPr>
        <w:numPr>
          <w:ilvl w:val="0"/>
          <w:numId w:val="1"/>
        </w:numPr>
        <w:ind w:hanging="360"/>
        <w:contextualSpacing/>
        <w:rPr>
          <w:sz w:val="26"/>
          <w:szCs w:val="26"/>
        </w:rPr>
      </w:pPr>
      <w:hyperlink r:id="rId27">
        <w:r w:rsidR="00DE1DEA">
          <w:rPr>
            <w:color w:val="1155CC"/>
            <w:sz w:val="26"/>
            <w:szCs w:val="26"/>
            <w:u w:val="single"/>
          </w:rPr>
          <w:t>https://www.pism.pl/files/?id_plik=21114</w:t>
        </w:r>
      </w:hyperlink>
      <w:r w:rsidR="00DE1DEA">
        <w:rPr>
          <w:sz w:val="26"/>
          <w:szCs w:val="26"/>
        </w:rPr>
        <w:t xml:space="preserve"> </w:t>
      </w:r>
    </w:p>
    <w:p w14:paraId="08703EA7" w14:textId="77777777" w:rsidR="0073045B" w:rsidRDefault="003D0AF4">
      <w:pPr>
        <w:numPr>
          <w:ilvl w:val="0"/>
          <w:numId w:val="1"/>
        </w:numPr>
        <w:ind w:hanging="360"/>
        <w:contextualSpacing/>
        <w:rPr>
          <w:sz w:val="26"/>
          <w:szCs w:val="26"/>
        </w:rPr>
      </w:pPr>
      <w:hyperlink r:id="rId28">
        <w:r w:rsidR="00DE1DEA">
          <w:rPr>
            <w:color w:val="1155CC"/>
            <w:sz w:val="26"/>
            <w:szCs w:val="26"/>
            <w:u w:val="single"/>
          </w:rPr>
          <w:t>http://eur-lex.europa.eu/legal-content/EN/TXT/?uri=uriserv:OJ.L_.2016.344.01.0001.01.ENG&amp;toc=OJ:L:2016:344:TOC</w:t>
        </w:r>
      </w:hyperlink>
    </w:p>
    <w:p w14:paraId="55202F95" w14:textId="77777777" w:rsidR="0073045B" w:rsidRDefault="003D0AF4">
      <w:pPr>
        <w:numPr>
          <w:ilvl w:val="0"/>
          <w:numId w:val="1"/>
        </w:numPr>
        <w:ind w:hanging="360"/>
        <w:contextualSpacing/>
        <w:rPr>
          <w:sz w:val="26"/>
          <w:szCs w:val="26"/>
        </w:rPr>
      </w:pPr>
      <w:hyperlink r:id="rId29">
        <w:r w:rsidR="00DE1DEA">
          <w:rPr>
            <w:color w:val="1155CC"/>
            <w:sz w:val="26"/>
            <w:szCs w:val="26"/>
            <w:u w:val="single"/>
          </w:rPr>
          <w:t>http://ec.europa.eu/environment/air/pollutants/ceilings.htm</w:t>
        </w:r>
      </w:hyperlink>
    </w:p>
    <w:p w14:paraId="4ECE59B2" w14:textId="77777777" w:rsidR="0073045B" w:rsidRDefault="003D0AF4">
      <w:pPr>
        <w:numPr>
          <w:ilvl w:val="0"/>
          <w:numId w:val="1"/>
        </w:numPr>
        <w:ind w:hanging="360"/>
        <w:contextualSpacing/>
        <w:rPr>
          <w:sz w:val="26"/>
          <w:szCs w:val="26"/>
        </w:rPr>
      </w:pPr>
      <w:hyperlink r:id="rId30">
        <w:r w:rsidR="00DE1DEA">
          <w:rPr>
            <w:color w:val="1155CC"/>
            <w:sz w:val="26"/>
            <w:szCs w:val="26"/>
            <w:u w:val="single"/>
          </w:rPr>
          <w:t>https://www.iea.org/publications/freepublications/publication/WorldEnergyOutlookSpecialReport2016EnergyandAirPollution.pdf</w:t>
        </w:r>
      </w:hyperlink>
    </w:p>
    <w:p w14:paraId="5D53D116" w14:textId="77777777" w:rsidR="0073045B" w:rsidRDefault="00DE1DEA">
      <w:pPr>
        <w:numPr>
          <w:ilvl w:val="0"/>
          <w:numId w:val="1"/>
        </w:numPr>
        <w:ind w:hanging="360"/>
        <w:contextualSpacing/>
        <w:rPr>
          <w:sz w:val="26"/>
          <w:szCs w:val="26"/>
        </w:rPr>
      </w:pPr>
      <w:r>
        <w:rPr>
          <w:sz w:val="26"/>
          <w:szCs w:val="26"/>
        </w:rPr>
        <w:t xml:space="preserve">file:///C:/Users/gener/Downloads/Poland%20air%20pollution%20fact%20sheet%202014.pdf  </w:t>
      </w:r>
    </w:p>
    <w:p w14:paraId="73892782" w14:textId="77777777" w:rsidR="0073045B" w:rsidRDefault="003D0AF4">
      <w:pPr>
        <w:numPr>
          <w:ilvl w:val="0"/>
          <w:numId w:val="1"/>
        </w:numPr>
        <w:ind w:hanging="360"/>
        <w:contextualSpacing/>
        <w:rPr>
          <w:sz w:val="26"/>
          <w:szCs w:val="26"/>
        </w:rPr>
      </w:pPr>
      <w:hyperlink r:id="rId31">
        <w:r w:rsidR="00DE1DEA">
          <w:rPr>
            <w:color w:val="1155CC"/>
            <w:sz w:val="26"/>
            <w:szCs w:val="26"/>
            <w:u w:val="single"/>
          </w:rPr>
          <w:t>http://unfccc.int/resource/docs/2016/trr/pol.pdf</w:t>
        </w:r>
      </w:hyperlink>
    </w:p>
    <w:p w14:paraId="6FBDA35B" w14:textId="77777777" w:rsidR="0073045B" w:rsidRDefault="003D0AF4">
      <w:pPr>
        <w:numPr>
          <w:ilvl w:val="0"/>
          <w:numId w:val="1"/>
        </w:numPr>
        <w:ind w:hanging="360"/>
        <w:contextualSpacing/>
        <w:rPr>
          <w:sz w:val="26"/>
          <w:szCs w:val="26"/>
        </w:rPr>
      </w:pPr>
      <w:hyperlink r:id="rId32">
        <w:r w:rsidR="00DE1DEA">
          <w:rPr>
            <w:color w:val="1155CC"/>
            <w:sz w:val="26"/>
            <w:szCs w:val="26"/>
            <w:u w:val="single"/>
          </w:rPr>
          <w:t>https://qz.com/882158/with-air-pollution-skyrocketing-warsaw-is-severely-hit-by-polands-smog-problem/</w:t>
        </w:r>
      </w:hyperlink>
      <w:r w:rsidR="00DE1DEA">
        <w:rPr>
          <w:sz w:val="26"/>
          <w:szCs w:val="26"/>
        </w:rPr>
        <w:t xml:space="preserve"> </w:t>
      </w:r>
    </w:p>
    <w:p w14:paraId="5930C115" w14:textId="77777777" w:rsidR="0073045B" w:rsidRDefault="003D0AF4">
      <w:pPr>
        <w:numPr>
          <w:ilvl w:val="0"/>
          <w:numId w:val="1"/>
        </w:numPr>
        <w:ind w:hanging="360"/>
        <w:contextualSpacing/>
        <w:rPr>
          <w:sz w:val="26"/>
          <w:szCs w:val="26"/>
        </w:rPr>
      </w:pPr>
      <w:hyperlink r:id="rId33">
        <w:r w:rsidR="00DE1DEA">
          <w:rPr>
            <w:color w:val="1155CC"/>
            <w:sz w:val="26"/>
            <w:szCs w:val="26"/>
            <w:u w:val="single"/>
          </w:rPr>
          <w:t>http://www.thebiojournal.com/polferries-will-use-low-sulfur-marine-fuel-for-the-nynashamn-gdansk-route-in-2017/</w:t>
        </w:r>
      </w:hyperlink>
      <w:r w:rsidR="00DE1DEA">
        <w:rPr>
          <w:sz w:val="26"/>
          <w:szCs w:val="26"/>
        </w:rPr>
        <w:t xml:space="preserve"> </w:t>
      </w:r>
    </w:p>
    <w:p w14:paraId="3E6C398A" w14:textId="77777777" w:rsidR="0073045B" w:rsidRDefault="003D0AF4">
      <w:pPr>
        <w:numPr>
          <w:ilvl w:val="0"/>
          <w:numId w:val="1"/>
        </w:numPr>
        <w:ind w:hanging="360"/>
        <w:contextualSpacing/>
        <w:rPr>
          <w:sz w:val="26"/>
          <w:szCs w:val="26"/>
        </w:rPr>
      </w:pPr>
      <w:hyperlink r:id="rId34">
        <w:r w:rsidR="00DE1DEA">
          <w:rPr>
            <w:color w:val="1155CC"/>
            <w:sz w:val="26"/>
            <w:szCs w:val="26"/>
            <w:u w:val="single"/>
          </w:rPr>
          <w:t>https://www.neste.com/en/neste-begins-deliveries-low-sulfur-marine-fuel-polferries</w:t>
        </w:r>
      </w:hyperlink>
      <w:r w:rsidR="00DE1DEA">
        <w:rPr>
          <w:sz w:val="26"/>
          <w:szCs w:val="26"/>
        </w:rPr>
        <w:t xml:space="preserve"> </w:t>
      </w:r>
    </w:p>
    <w:p w14:paraId="58E84716" w14:textId="77777777" w:rsidR="0073045B" w:rsidRDefault="003D0AF4">
      <w:pPr>
        <w:numPr>
          <w:ilvl w:val="0"/>
          <w:numId w:val="1"/>
        </w:numPr>
        <w:ind w:hanging="360"/>
        <w:contextualSpacing/>
        <w:rPr>
          <w:sz w:val="26"/>
          <w:szCs w:val="26"/>
        </w:rPr>
      </w:pPr>
      <w:hyperlink r:id="rId35">
        <w:r w:rsidR="00DE1DEA">
          <w:rPr>
            <w:color w:val="1155CC"/>
            <w:sz w:val="26"/>
            <w:szCs w:val="26"/>
            <w:u w:val="single"/>
          </w:rPr>
          <w:t>http://www.thinkgeoenergy.com/environment-minister-describing-geothermal-energy-as-big-chance-for-poland/</w:t>
        </w:r>
      </w:hyperlink>
      <w:r w:rsidR="00DE1DEA">
        <w:rPr>
          <w:sz w:val="26"/>
          <w:szCs w:val="26"/>
        </w:rPr>
        <w:t xml:space="preserve"> </w:t>
      </w:r>
    </w:p>
    <w:p w14:paraId="61FBFCAB" w14:textId="77777777" w:rsidR="0073045B" w:rsidRDefault="003D0AF4">
      <w:pPr>
        <w:numPr>
          <w:ilvl w:val="0"/>
          <w:numId w:val="1"/>
        </w:numPr>
        <w:ind w:hanging="360"/>
        <w:contextualSpacing/>
        <w:rPr>
          <w:sz w:val="26"/>
          <w:szCs w:val="26"/>
        </w:rPr>
      </w:pPr>
      <w:hyperlink r:id="rId36">
        <w:r w:rsidR="00DE1DEA">
          <w:rPr>
            <w:color w:val="1155CC"/>
            <w:sz w:val="26"/>
            <w:szCs w:val="26"/>
            <w:u w:val="single"/>
          </w:rPr>
          <w:t>http://www.climatechangenews.com/2016/12/12/poland-green-bond-issue-will-not-fund-coal-says-official/</w:t>
        </w:r>
      </w:hyperlink>
      <w:r w:rsidR="00DE1DEA">
        <w:rPr>
          <w:sz w:val="26"/>
          <w:szCs w:val="26"/>
        </w:rPr>
        <w:t xml:space="preserve"> </w:t>
      </w:r>
    </w:p>
    <w:p w14:paraId="1B19189F" w14:textId="77777777" w:rsidR="0073045B" w:rsidRDefault="0073045B"/>
    <w:sectPr w:rsidR="0073045B">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39615B"/>
    <w:multiLevelType w:val="multilevel"/>
    <w:tmpl w:val="3AC630E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45B"/>
    <w:rsid w:val="003D0AF4"/>
    <w:rsid w:val="00586804"/>
    <w:rsid w:val="0073045B"/>
    <w:rsid w:val="00CB7CD1"/>
    <w:rsid w:val="00DE1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F100B"/>
  <w15:docId w15:val="{712806CA-B493-4E8F-B614-7BD6B81A5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table" w:customStyle="1" w:styleId="a">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DE1DE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1D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4.unfccc.int/Submissions/INDC/Published%20Documents/Latvia/1/LV-03-06-EU%20INDC.pdf" TargetMode="External"/><Relationship Id="rId13" Type="http://schemas.openxmlformats.org/officeDocument/2006/relationships/hyperlink" Target="http://www.wri.org/blog/2015/12/3-ways-help-developing-countries-get-direct-access-climate-finance" TargetMode="External"/><Relationship Id="rId18" Type="http://schemas.openxmlformats.org/officeDocument/2006/relationships/hyperlink" Target="http://unfccc.int/cooperation_and_support/financial_mechanism/items/2807.php" TargetMode="External"/><Relationship Id="rId26" Type="http://schemas.openxmlformats.org/officeDocument/2006/relationships/hyperlink" Target="https://www.greenclimate.fund/documents/20182/24868/Status_of_Pledges.pdf/eef538d3-2987-4659-8c7c-5566ed6afd19" TargetMode="External"/><Relationship Id="rId3" Type="http://schemas.openxmlformats.org/officeDocument/2006/relationships/settings" Target="settings.xml"/><Relationship Id="rId21" Type="http://schemas.openxmlformats.org/officeDocument/2006/relationships/hyperlink" Target="http://www.renewableenergyfocus.com/view/44664/reforming-poland-s-renewable-industry/" TargetMode="External"/><Relationship Id="rId34" Type="http://schemas.openxmlformats.org/officeDocument/2006/relationships/hyperlink" Target="https://www.neste.com/en/neste-begins-deliveries-low-sulfur-marine-fuel-polferries" TargetMode="External"/><Relationship Id="rId7" Type="http://schemas.openxmlformats.org/officeDocument/2006/relationships/hyperlink" Target="http://www.thenews.pl/1/9/Artykul/293759,High-smog-levels-recorded-in-central-and-southern-Poland" TargetMode="External"/><Relationship Id="rId12" Type="http://schemas.openxmlformats.org/officeDocument/2006/relationships/hyperlink" Target="http://www.commondreams.org/views/2016/07/15/little-known-fund-heart-paris-climate-agreement" TargetMode="External"/><Relationship Id="rId17" Type="http://schemas.openxmlformats.org/officeDocument/2006/relationships/hyperlink" Target="http://cphpost.dk/news/danish-pressure-leads-to-less-shipping-pollution-in-baltic-and-north-seas.html" TargetMode="External"/><Relationship Id="rId25" Type="http://schemas.openxmlformats.org/officeDocument/2006/relationships/hyperlink" Target="https://insideclimatenews.org/content/green-climate-fund-glance" TargetMode="External"/><Relationship Id="rId33" Type="http://schemas.openxmlformats.org/officeDocument/2006/relationships/hyperlink" Target="http://www.thebiojournal.com/polferries-will-use-low-sulfur-marine-fuel-for-the-nynashamn-gdansk-route-in-2017/"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greenclimate.fund/partners/contributors/resources-mobilized" TargetMode="External"/><Relationship Id="rId20" Type="http://schemas.openxmlformats.org/officeDocument/2006/relationships/hyperlink" Target="http://helcom.fi/Lists/Publications/BSEP145_Lowres.pdf" TargetMode="External"/><Relationship Id="rId29" Type="http://schemas.openxmlformats.org/officeDocument/2006/relationships/hyperlink" Target="http://ec.europa.eu/environment/air/pollutants/ceilings.htm" TargetMode="External"/><Relationship Id="rId1" Type="http://schemas.openxmlformats.org/officeDocument/2006/relationships/numbering" Target="numbering.xml"/><Relationship Id="rId6" Type="http://schemas.openxmlformats.org/officeDocument/2006/relationships/hyperlink" Target="http://www.climatechangenews.com/2016/09/27/poland-threatens-eu-plan-to-ratify-un-climate-deal/" TargetMode="External"/><Relationship Id="rId11" Type="http://schemas.openxmlformats.org/officeDocument/2006/relationships/hyperlink" Target="https://euracoal.eu/info/country-profiles/poland/" TargetMode="External"/><Relationship Id="rId24" Type="http://schemas.openxmlformats.org/officeDocument/2006/relationships/hyperlink" Target="https://en.wikipedia.org/wiki/Poland_National_Renewable_Energy_Action_Plan" TargetMode="External"/><Relationship Id="rId32" Type="http://schemas.openxmlformats.org/officeDocument/2006/relationships/hyperlink" Target="https://qz.com/882158/with-air-pollution-skyrocketing-warsaw-is-severely-hit-by-polands-smog-problem/" TargetMode="External"/><Relationship Id="rId37" Type="http://schemas.openxmlformats.org/officeDocument/2006/relationships/fontTable" Target="fontTable.xml"/><Relationship Id="rId5" Type="http://schemas.openxmlformats.org/officeDocument/2006/relationships/hyperlink" Target="https://en.wikipedia.org/wiki/Paris_Agreement" TargetMode="External"/><Relationship Id="rId15" Type="http://schemas.openxmlformats.org/officeDocument/2006/relationships/hyperlink" Target="https://www.thegef.org/country/poland" TargetMode="External"/><Relationship Id="rId23" Type="http://schemas.openxmlformats.org/officeDocument/2006/relationships/hyperlink" Target="https://en.wikipedia.org/wiki/National_Renewable_Energy_Action_Plan" TargetMode="External"/><Relationship Id="rId28" Type="http://schemas.openxmlformats.org/officeDocument/2006/relationships/hyperlink" Target="http://eur-lex.europa.eu/legal-content/EN/TXT/?uri=uriserv:OJ.L_.2016.344.01.0001.01.ENG&amp;toc=OJ:L:2016:344:TOC" TargetMode="External"/><Relationship Id="rId36" Type="http://schemas.openxmlformats.org/officeDocument/2006/relationships/hyperlink" Target="http://www.climatechangenews.com/2016/12/12/poland-green-bond-issue-will-not-fund-coal-says-official/" TargetMode="External"/><Relationship Id="rId10" Type="http://schemas.openxmlformats.org/officeDocument/2006/relationships/hyperlink" Target="https://unfccc.int/files/ghg_emissions_data/application/pdf/pol_ghg_profile.pdf" TargetMode="External"/><Relationship Id="rId19" Type="http://schemas.openxmlformats.org/officeDocument/2006/relationships/hyperlink" Target="http://www.climate-energy-college.net/files/site1/factsheets/Poland_INDCFactsheet_UoM-PRIMAP_GWPAR4.pdf" TargetMode="External"/><Relationship Id="rId31" Type="http://schemas.openxmlformats.org/officeDocument/2006/relationships/hyperlink" Target="http://unfccc.int/resource/docs/2016/trr/pol.pdf" TargetMode="External"/><Relationship Id="rId4" Type="http://schemas.openxmlformats.org/officeDocument/2006/relationships/webSettings" Target="webSettings.xml"/><Relationship Id="rId9" Type="http://schemas.openxmlformats.org/officeDocument/2006/relationships/hyperlink" Target="https://www.statista.com/statistics/411904/annual-greenhouse-gas-emissions-of-the-transport-sector-in-poland/" TargetMode="External"/><Relationship Id="rId14" Type="http://schemas.openxmlformats.org/officeDocument/2006/relationships/hyperlink" Target="https://www.pol-int.org/en/salon/polish-views-climate-policy-en" TargetMode="External"/><Relationship Id="rId22" Type="http://schemas.openxmlformats.org/officeDocument/2006/relationships/hyperlink" Target="https://www.iea.org/countries/membercountries/poland/" TargetMode="External"/><Relationship Id="rId27" Type="http://schemas.openxmlformats.org/officeDocument/2006/relationships/hyperlink" Target="https://www.pism.pl/files/?id_plik=21114" TargetMode="External"/><Relationship Id="rId30" Type="http://schemas.openxmlformats.org/officeDocument/2006/relationships/hyperlink" Target="https://www.iea.org/publications/freepublications/publication/WorldEnergyOutlookSpecialReport2016EnergyandAirPollution.pdf" TargetMode="External"/><Relationship Id="rId35" Type="http://schemas.openxmlformats.org/officeDocument/2006/relationships/hyperlink" Target="http://www.thinkgeoenergy.com/environment-minister-describing-geothermal-energy-as-big-chance-for-pol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1503</Words>
  <Characters>8572</Characters>
  <Application>Microsoft Office Word</Application>
  <DocSecurity>0</DocSecurity>
  <Lines>71</Lines>
  <Paragraphs>20</Paragraphs>
  <ScaleCrop>false</ScaleCrop>
  <Company/>
  <LinksUpToDate>false</LinksUpToDate>
  <CharactersWithSpaces>10055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dc:creator>
  <cp:lastModifiedBy>Kevin</cp:lastModifiedBy>
  <cp:revision>2</cp:revision>
  <dcterms:created xsi:type="dcterms:W3CDTF">2018-07-28T18:03:00Z</dcterms:created>
  <dcterms:modified xsi:type="dcterms:W3CDTF">2018-07-28T18:03:00Z</dcterms:modified>
</cp:coreProperties>
</file>