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B5E542" w14:textId="77777777" w:rsidR="005E2DCE" w:rsidRDefault="007275E2">
      <w:pPr>
        <w:spacing w:after="0" w:line="240" w:lineRule="auto"/>
        <w:ind w:left="-720" w:right="-720"/>
        <w:jc w:val="center"/>
        <w:rPr>
          <w:rFonts w:ascii="Times New Roman" w:eastAsia="Times New Roman" w:hAnsi="Times New Roman" w:cs="Times New Roman"/>
          <w:b/>
          <w:sz w:val="26"/>
          <w:szCs w:val="26"/>
        </w:rPr>
      </w:pPr>
      <w:bookmarkStart w:id="0" w:name="_gjdgxs" w:colFirst="0" w:colLast="0"/>
      <w:bookmarkEnd w:id="0"/>
      <w:r>
        <w:rPr>
          <w:rFonts w:ascii="Times New Roman" w:eastAsia="Times New Roman" w:hAnsi="Times New Roman" w:cs="Times New Roman"/>
          <w:b/>
          <w:sz w:val="26"/>
          <w:szCs w:val="26"/>
        </w:rPr>
        <w:t>Rotary Model UN 2018</w:t>
      </w:r>
    </w:p>
    <w:p w14:paraId="7928E4FF" w14:textId="77777777" w:rsidR="005E2DCE" w:rsidRDefault="007275E2">
      <w:pPr>
        <w:spacing w:after="0" w:line="240" w:lineRule="auto"/>
        <w:ind w:left="-720" w:right="-720"/>
        <w:rPr>
          <w:rFonts w:ascii="Times New Roman" w:eastAsia="Times New Roman" w:hAnsi="Times New Roman" w:cs="Times New Roman"/>
          <w:b/>
          <w:sz w:val="26"/>
          <w:szCs w:val="26"/>
        </w:rPr>
      </w:pPr>
      <w:r>
        <w:rPr>
          <w:rFonts w:ascii="Times New Roman" w:eastAsia="Times New Roman" w:hAnsi="Times New Roman" w:cs="Times New Roman"/>
          <w:b/>
          <w:sz w:val="26"/>
          <w:szCs w:val="26"/>
        </w:rPr>
        <w:t>United Nations</w:t>
      </w:r>
    </w:p>
    <w:p w14:paraId="30E60A8A" w14:textId="77777777" w:rsidR="005E2DCE" w:rsidRDefault="00D14730">
      <w:pPr>
        <w:spacing w:after="0" w:line="240" w:lineRule="auto"/>
        <w:ind w:left="-720" w:right="-720"/>
        <w:rPr>
          <w:rFonts w:ascii="Times New Roman" w:eastAsia="Times New Roman" w:hAnsi="Times New Roman" w:cs="Times New Roman"/>
          <w:b/>
        </w:rPr>
      </w:pPr>
      <w:r>
        <w:pict w14:anchorId="5394E240">
          <v:rect id="_x0000_i1025" style="width:0;height:1.5pt" o:hralign="center" o:hrstd="t" o:hr="t" fillcolor="#a0a0a0" stroked="f"/>
        </w:pict>
      </w:r>
    </w:p>
    <w:p w14:paraId="042F2C60" w14:textId="77777777" w:rsidR="005E2DCE" w:rsidRDefault="007275E2">
      <w:pPr>
        <w:spacing w:after="0" w:line="240" w:lineRule="auto"/>
        <w:ind w:left="-720" w:right="-720"/>
        <w:rPr>
          <w:rFonts w:ascii="Times New Roman" w:eastAsia="Times New Roman" w:hAnsi="Times New Roman" w:cs="Times New Roman"/>
          <w:sz w:val="20"/>
          <w:szCs w:val="20"/>
        </w:rPr>
      </w:pPr>
      <w:r>
        <w:rPr>
          <w:rFonts w:ascii="Times New Roman" w:eastAsia="Times New Roman" w:hAnsi="Times New Roman" w:cs="Times New Roman"/>
          <w:noProof/>
          <w:sz w:val="23"/>
          <w:szCs w:val="23"/>
        </w:rPr>
        <w:drawing>
          <wp:inline distT="114300" distB="114300" distL="114300" distR="114300" wp14:anchorId="11B89CA0" wp14:editId="725D64C3">
            <wp:extent cx="623888" cy="623888"/>
            <wp:effectExtent l="0" t="0" r="0" b="0"/>
            <wp:docPr id="1" name="image2.jpg" descr="Image result for un logo blue on white"/>
            <wp:cNvGraphicFramePr/>
            <a:graphic xmlns:a="http://schemas.openxmlformats.org/drawingml/2006/main">
              <a:graphicData uri="http://schemas.openxmlformats.org/drawingml/2006/picture">
                <pic:pic xmlns:pic="http://schemas.openxmlformats.org/drawingml/2006/picture">
                  <pic:nvPicPr>
                    <pic:cNvPr id="0" name="image2.jpg" descr="Image result for un logo blue on white"/>
                    <pic:cNvPicPr preferRelativeResize="0"/>
                  </pic:nvPicPr>
                  <pic:blipFill>
                    <a:blip r:embed="rId7"/>
                    <a:srcRect/>
                    <a:stretch>
                      <a:fillRect/>
                    </a:stretch>
                  </pic:blipFill>
                  <pic:spPr>
                    <a:xfrm>
                      <a:off x="0" y="0"/>
                      <a:ext cx="623888" cy="623888"/>
                    </a:xfrm>
                    <a:prstGeom prst="rect">
                      <a:avLst/>
                    </a:prstGeom>
                    <a:ln/>
                  </pic:spPr>
                </pic:pic>
              </a:graphicData>
            </a:graphic>
          </wp:inline>
        </w:drawing>
      </w:r>
      <w:r>
        <w:rPr>
          <w:rFonts w:ascii="Times New Roman" w:eastAsia="Times New Roman" w:hAnsi="Times New Roman" w:cs="Times New Roman"/>
          <w:b/>
          <w:sz w:val="32"/>
          <w:szCs w:val="32"/>
        </w:rPr>
        <w:t>General Assembly</w:t>
      </w:r>
      <w:r>
        <w:rPr>
          <w:rFonts w:ascii="Times New Roman" w:eastAsia="Times New Roman" w:hAnsi="Times New Roman" w:cs="Times New Roman"/>
          <w:b/>
          <w:sz w:val="32"/>
          <w:szCs w:val="32"/>
        </w:rPr>
        <w:tab/>
      </w:r>
      <w:r>
        <w:rPr>
          <w:rFonts w:ascii="Times New Roman" w:eastAsia="Times New Roman" w:hAnsi="Times New Roman" w:cs="Times New Roman"/>
          <w:b/>
          <w:sz w:val="32"/>
          <w:szCs w:val="32"/>
        </w:rPr>
        <w:tab/>
      </w:r>
      <w:r>
        <w:rPr>
          <w:rFonts w:ascii="Times New Roman" w:eastAsia="Times New Roman" w:hAnsi="Times New Roman" w:cs="Times New Roman"/>
          <w:b/>
          <w:sz w:val="32"/>
          <w:szCs w:val="32"/>
        </w:rPr>
        <w:tab/>
      </w:r>
      <w:r>
        <w:rPr>
          <w:rFonts w:ascii="Times New Roman" w:eastAsia="Times New Roman" w:hAnsi="Times New Roman" w:cs="Times New Roman"/>
          <w:b/>
          <w:sz w:val="32"/>
          <w:szCs w:val="32"/>
        </w:rPr>
        <w:tab/>
      </w:r>
      <w:r>
        <w:rPr>
          <w:rFonts w:ascii="Times New Roman" w:eastAsia="Times New Roman" w:hAnsi="Times New Roman" w:cs="Times New Roman"/>
          <w:b/>
          <w:sz w:val="32"/>
          <w:szCs w:val="32"/>
        </w:rPr>
        <w:tab/>
      </w:r>
      <w:r>
        <w:rPr>
          <w:rFonts w:ascii="Times New Roman" w:eastAsia="Times New Roman" w:hAnsi="Times New Roman" w:cs="Times New Roman"/>
          <w:b/>
          <w:sz w:val="32"/>
          <w:szCs w:val="32"/>
        </w:rPr>
        <w:tab/>
      </w:r>
      <w:r>
        <w:rPr>
          <w:rFonts w:ascii="Times New Roman" w:eastAsia="Times New Roman" w:hAnsi="Times New Roman" w:cs="Times New Roman"/>
          <w:b/>
          <w:sz w:val="32"/>
          <w:szCs w:val="32"/>
        </w:rPr>
        <w:tab/>
      </w:r>
      <w:r>
        <w:rPr>
          <w:rFonts w:ascii="Times New Roman" w:eastAsia="Times New Roman" w:hAnsi="Times New Roman" w:cs="Times New Roman"/>
          <w:b/>
          <w:sz w:val="32"/>
          <w:szCs w:val="32"/>
        </w:rPr>
        <w:tab/>
      </w:r>
      <w:r>
        <w:rPr>
          <w:rFonts w:ascii="Times New Roman" w:eastAsia="Times New Roman" w:hAnsi="Times New Roman" w:cs="Times New Roman"/>
          <w:b/>
          <w:sz w:val="32"/>
          <w:szCs w:val="32"/>
        </w:rPr>
        <w:tab/>
      </w:r>
      <w:r>
        <w:rPr>
          <w:rFonts w:ascii="Times New Roman" w:eastAsia="Times New Roman" w:hAnsi="Times New Roman" w:cs="Times New Roman"/>
          <w:sz w:val="20"/>
          <w:szCs w:val="20"/>
        </w:rPr>
        <w:t>7 April 2018</w:t>
      </w:r>
    </w:p>
    <w:p w14:paraId="20C602FE" w14:textId="77777777" w:rsidR="005E2DCE" w:rsidRDefault="00D14730">
      <w:pPr>
        <w:spacing w:after="0" w:line="240" w:lineRule="auto"/>
        <w:ind w:left="-720" w:right="-720"/>
        <w:jc w:val="center"/>
        <w:rPr>
          <w:rFonts w:ascii="Times New Roman" w:eastAsia="Times New Roman" w:hAnsi="Times New Roman" w:cs="Times New Roman"/>
          <w:b/>
        </w:rPr>
      </w:pPr>
      <w:r>
        <w:pict w14:anchorId="03EF875A">
          <v:rect id="_x0000_i1026" style="width:0;height:1.5pt" o:hralign="center" o:hrstd="t" o:hr="t" fillcolor="#a0a0a0" stroked="f"/>
        </w:pict>
      </w:r>
    </w:p>
    <w:p w14:paraId="676D92E0" w14:textId="77777777" w:rsidR="005E2DCE" w:rsidRDefault="007275E2">
      <w:pPr>
        <w:spacing w:after="0" w:line="240" w:lineRule="auto"/>
        <w:ind w:left="-720" w:right="-720"/>
        <w:rPr>
          <w:rFonts w:ascii="Times New Roman" w:eastAsia="Times New Roman" w:hAnsi="Times New Roman" w:cs="Times New Roman"/>
          <w:b/>
          <w:sz w:val="20"/>
          <w:szCs w:val="20"/>
        </w:rPr>
      </w:pPr>
      <w:r>
        <w:rPr>
          <w:rFonts w:ascii="Times New Roman" w:eastAsia="Times New Roman" w:hAnsi="Times New Roman" w:cs="Times New Roman"/>
          <w:b/>
          <w:sz w:val="20"/>
          <w:szCs w:val="20"/>
        </w:rPr>
        <w:t>Seventy-Second Session</w:t>
      </w:r>
    </w:p>
    <w:p w14:paraId="71A89BF3" w14:textId="77777777" w:rsidR="005E2DCE" w:rsidRDefault="005E2DCE">
      <w:pPr>
        <w:spacing w:after="0" w:line="240" w:lineRule="auto"/>
        <w:ind w:left="-720" w:right="-720"/>
        <w:rPr>
          <w:rFonts w:ascii="Times New Roman" w:eastAsia="Times New Roman" w:hAnsi="Times New Roman" w:cs="Times New Roman"/>
          <w:b/>
          <w:sz w:val="20"/>
          <w:szCs w:val="20"/>
        </w:rPr>
      </w:pPr>
    </w:p>
    <w:p w14:paraId="6C73ADCA" w14:textId="77777777" w:rsidR="005E2DCE" w:rsidRDefault="007275E2">
      <w:pPr>
        <w:spacing w:after="0" w:line="240" w:lineRule="auto"/>
        <w:ind w:left="-720" w:right="-720"/>
        <w:rPr>
          <w:rFonts w:ascii="Times New Roman" w:eastAsia="Times New Roman" w:hAnsi="Times New Roman" w:cs="Times New Roman"/>
          <w:b/>
          <w:sz w:val="20"/>
          <w:szCs w:val="20"/>
        </w:rPr>
      </w:pPr>
      <w:r>
        <w:rPr>
          <w:rFonts w:ascii="Times New Roman" w:eastAsia="Times New Roman" w:hAnsi="Times New Roman" w:cs="Times New Roman"/>
          <w:b/>
          <w:sz w:val="20"/>
          <w:szCs w:val="20"/>
        </w:rPr>
        <w:t>Agenda item 54</w:t>
      </w:r>
    </w:p>
    <w:p w14:paraId="2CDF099B" w14:textId="77777777" w:rsidR="005E2DCE" w:rsidRDefault="007275E2">
      <w:pPr>
        <w:spacing w:after="0" w:line="240" w:lineRule="auto"/>
        <w:ind w:left="-720" w:right="-720"/>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Resolution #1</w:t>
      </w:r>
    </w:p>
    <w:p w14:paraId="03805674" w14:textId="77777777" w:rsidR="005E2DCE" w:rsidRDefault="005E2DCE">
      <w:pPr>
        <w:spacing w:after="0" w:line="276" w:lineRule="auto"/>
        <w:rPr>
          <w:rFonts w:ascii="Times New Roman" w:eastAsia="Times New Roman" w:hAnsi="Times New Roman" w:cs="Times New Roman"/>
          <w:b/>
          <w:sz w:val="26"/>
          <w:szCs w:val="26"/>
        </w:rPr>
      </w:pPr>
    </w:p>
    <w:p w14:paraId="6D815D21" w14:textId="77777777" w:rsidR="005E2DCE" w:rsidRDefault="007275E2">
      <w:pPr>
        <w:spacing w:after="0" w:line="276" w:lineRule="auto"/>
        <w:jc w:val="center"/>
        <w:rPr>
          <w:rFonts w:ascii="Times New Roman" w:eastAsia="Times New Roman" w:hAnsi="Times New Roman" w:cs="Times New Roman"/>
          <w:b/>
          <w:u w:val="single"/>
        </w:rPr>
      </w:pPr>
      <w:r>
        <w:rPr>
          <w:rFonts w:ascii="Times New Roman" w:eastAsia="Times New Roman" w:hAnsi="Times New Roman" w:cs="Times New Roman"/>
          <w:b/>
          <w:u w:val="single"/>
        </w:rPr>
        <w:t>UN Membership for Palestine: Pathway to Improving Conditions in Historic Palestine</w:t>
      </w:r>
    </w:p>
    <w:p w14:paraId="16DEB5A6" w14:textId="77777777" w:rsidR="005E2DCE" w:rsidRDefault="007275E2">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 </w:t>
      </w:r>
    </w:p>
    <w:p w14:paraId="78EB621D" w14:textId="77777777" w:rsidR="005E2DCE" w:rsidRDefault="007275E2">
      <w:pPr>
        <w:spacing w:after="0" w:line="276" w:lineRule="auto"/>
        <w:rPr>
          <w:rFonts w:ascii="Times New Roman" w:eastAsia="Times New Roman" w:hAnsi="Times New Roman" w:cs="Times New Roman"/>
          <w:i/>
        </w:rPr>
      </w:pPr>
      <w:r>
        <w:rPr>
          <w:rFonts w:ascii="Times New Roman" w:eastAsia="Times New Roman" w:hAnsi="Times New Roman" w:cs="Times New Roman"/>
          <w:i/>
        </w:rPr>
        <w:t>The General Assembly,</w:t>
      </w:r>
    </w:p>
    <w:p w14:paraId="791FF74E" w14:textId="77777777" w:rsidR="005E2DCE" w:rsidRDefault="007275E2">
      <w:pPr>
        <w:spacing w:after="0" w:line="276" w:lineRule="auto"/>
        <w:rPr>
          <w:rFonts w:ascii="Times New Roman" w:eastAsia="Times New Roman" w:hAnsi="Times New Roman" w:cs="Times New Roman"/>
        </w:rPr>
      </w:pPr>
      <w:r>
        <w:rPr>
          <w:rFonts w:ascii="Times New Roman" w:eastAsia="Times New Roman" w:hAnsi="Times New Roman" w:cs="Times New Roman"/>
          <w:i/>
        </w:rPr>
        <w:t xml:space="preserve"> </w:t>
      </w:r>
      <w:r>
        <w:rPr>
          <w:rFonts w:ascii="Times New Roman" w:eastAsia="Times New Roman" w:hAnsi="Times New Roman" w:cs="Times New Roman"/>
        </w:rPr>
        <w:t xml:space="preserve"> </w:t>
      </w:r>
    </w:p>
    <w:p w14:paraId="5A5F6671" w14:textId="0B74B752" w:rsidR="005E2DCE" w:rsidRDefault="007275E2">
      <w:pPr>
        <w:spacing w:after="0" w:line="276" w:lineRule="auto"/>
        <w:rPr>
          <w:rFonts w:ascii="Times New Roman" w:eastAsia="Times New Roman" w:hAnsi="Times New Roman" w:cs="Times New Roman"/>
        </w:rPr>
      </w:pPr>
      <w:r w:rsidRPr="00B90E15">
        <w:rPr>
          <w:rFonts w:ascii="Times New Roman" w:eastAsia="Times New Roman" w:hAnsi="Times New Roman" w:cs="Times New Roman"/>
          <w:i/>
        </w:rPr>
        <w:t>Acknowledging</w:t>
      </w:r>
      <w:r>
        <w:rPr>
          <w:rFonts w:ascii="Times New Roman" w:eastAsia="Times New Roman" w:hAnsi="Times New Roman" w:cs="Times New Roman"/>
        </w:rPr>
        <w:t xml:space="preserve"> that the Security Council has denied Palestine’s renewed application submitted on </w:t>
      </w:r>
      <w:r w:rsidR="00787CF8">
        <w:rPr>
          <w:rFonts w:ascii="Times New Roman" w:eastAsia="Times New Roman" w:hAnsi="Times New Roman" w:cs="Times New Roman"/>
        </w:rPr>
        <w:t xml:space="preserve">15 </w:t>
      </w:r>
      <w:r>
        <w:rPr>
          <w:rFonts w:ascii="Times New Roman" w:eastAsia="Times New Roman" w:hAnsi="Times New Roman" w:cs="Times New Roman"/>
        </w:rPr>
        <w:t>January 2018, for admission to membership in the United Nations,</w:t>
      </w:r>
    </w:p>
    <w:p w14:paraId="18E9E7AD" w14:textId="77777777" w:rsidR="005E2DCE" w:rsidRDefault="005E2DCE">
      <w:pPr>
        <w:spacing w:after="0" w:line="276" w:lineRule="auto"/>
        <w:rPr>
          <w:rFonts w:ascii="Times New Roman" w:eastAsia="Times New Roman" w:hAnsi="Times New Roman" w:cs="Times New Roman"/>
        </w:rPr>
      </w:pPr>
    </w:p>
    <w:p w14:paraId="60699D88" w14:textId="77777777" w:rsidR="005E2DCE" w:rsidRDefault="007275E2">
      <w:pPr>
        <w:spacing w:after="0" w:line="276" w:lineRule="auto"/>
        <w:rPr>
          <w:rFonts w:ascii="Times New Roman" w:eastAsia="Times New Roman" w:hAnsi="Times New Roman" w:cs="Times New Roman"/>
        </w:rPr>
      </w:pPr>
      <w:r>
        <w:rPr>
          <w:rFonts w:ascii="Times New Roman" w:eastAsia="Times New Roman" w:hAnsi="Times New Roman" w:cs="Times New Roman"/>
          <w:i/>
        </w:rPr>
        <w:t>Understanding</w:t>
      </w:r>
      <w:r>
        <w:rPr>
          <w:rFonts w:ascii="Times New Roman" w:eastAsia="Times New Roman" w:hAnsi="Times New Roman" w:cs="Times New Roman"/>
        </w:rPr>
        <w:t xml:space="preserve"> that the criteria for consideration of new member states is set forth in Article 4</w:t>
      </w:r>
      <w:r>
        <w:rPr>
          <w:rFonts w:ascii="Times New Roman" w:eastAsia="Times New Roman" w:hAnsi="Times New Roman" w:cs="Times New Roman"/>
          <w:vertAlign w:val="superscript"/>
        </w:rPr>
        <w:footnoteReference w:id="1"/>
      </w:r>
      <w:r>
        <w:rPr>
          <w:rFonts w:ascii="Times New Roman" w:eastAsia="Times New Roman" w:hAnsi="Times New Roman" w:cs="Times New Roman"/>
        </w:rPr>
        <w:t xml:space="preserve"> of the United Nations Charter,</w:t>
      </w:r>
    </w:p>
    <w:p w14:paraId="4ECD4166" w14:textId="77777777" w:rsidR="005E2DCE" w:rsidRDefault="007275E2">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  </w:t>
      </w:r>
    </w:p>
    <w:p w14:paraId="3352BB79" w14:textId="77777777" w:rsidR="005E2DCE" w:rsidRDefault="007275E2">
      <w:pPr>
        <w:spacing w:after="0" w:line="276" w:lineRule="auto"/>
        <w:rPr>
          <w:rFonts w:ascii="Times New Roman" w:eastAsia="Times New Roman" w:hAnsi="Times New Roman" w:cs="Times New Roman"/>
        </w:rPr>
      </w:pPr>
      <w:r>
        <w:rPr>
          <w:rFonts w:ascii="Times New Roman" w:eastAsia="Times New Roman" w:hAnsi="Times New Roman" w:cs="Times New Roman"/>
          <w:i/>
        </w:rPr>
        <w:t>Further understanding</w:t>
      </w:r>
      <w:r>
        <w:rPr>
          <w:rFonts w:ascii="Times New Roman" w:eastAsia="Times New Roman" w:hAnsi="Times New Roman" w:cs="Times New Roman"/>
        </w:rPr>
        <w:t xml:space="preserve"> the requirements for an application for admission of a new member state of the U.N. as set forth in the Rules of the General Assembly,</w:t>
      </w:r>
      <w:r>
        <w:rPr>
          <w:rFonts w:ascii="Times New Roman" w:eastAsia="Times New Roman" w:hAnsi="Times New Roman" w:cs="Times New Roman"/>
          <w:vertAlign w:val="superscript"/>
        </w:rPr>
        <w:footnoteReference w:id="2"/>
      </w:r>
      <w:r>
        <w:rPr>
          <w:rFonts w:ascii="Times New Roman" w:eastAsia="Times New Roman" w:hAnsi="Times New Roman" w:cs="Times New Roman"/>
        </w:rPr>
        <w:t xml:space="preserve">  </w:t>
      </w:r>
    </w:p>
    <w:p w14:paraId="07EEED7F" w14:textId="77777777" w:rsidR="005E2DCE" w:rsidRDefault="005E2DCE">
      <w:pPr>
        <w:spacing w:after="0" w:line="276" w:lineRule="auto"/>
        <w:rPr>
          <w:rFonts w:ascii="Times New Roman" w:eastAsia="Times New Roman" w:hAnsi="Times New Roman" w:cs="Times New Roman"/>
        </w:rPr>
      </w:pPr>
    </w:p>
    <w:p w14:paraId="7419E11F" w14:textId="17A96E27" w:rsidR="005E2DCE" w:rsidRDefault="007275E2">
      <w:pPr>
        <w:spacing w:after="0" w:line="276" w:lineRule="auto"/>
        <w:rPr>
          <w:rFonts w:ascii="Times New Roman" w:eastAsia="Times New Roman" w:hAnsi="Times New Roman" w:cs="Times New Roman"/>
        </w:rPr>
      </w:pPr>
      <w:r>
        <w:rPr>
          <w:rFonts w:ascii="Times New Roman" w:eastAsia="Times New Roman" w:hAnsi="Times New Roman" w:cs="Times New Roman"/>
          <w:i/>
        </w:rPr>
        <w:t>Recalling</w:t>
      </w:r>
      <w:r>
        <w:rPr>
          <w:rFonts w:ascii="Times New Roman" w:eastAsia="Times New Roman" w:hAnsi="Times New Roman" w:cs="Times New Roman"/>
        </w:rPr>
        <w:t xml:space="preserve"> that Palestine originally requested United Nations membership in a letter from Palestinian President Mahmoud Abbas dated </w:t>
      </w:r>
      <w:r w:rsidR="00787CF8">
        <w:rPr>
          <w:rFonts w:ascii="Times New Roman" w:eastAsia="Times New Roman" w:hAnsi="Times New Roman" w:cs="Times New Roman"/>
        </w:rPr>
        <w:t xml:space="preserve">23 </w:t>
      </w:r>
      <w:r>
        <w:rPr>
          <w:rFonts w:ascii="Times New Roman" w:eastAsia="Times New Roman" w:hAnsi="Times New Roman" w:cs="Times New Roman"/>
        </w:rPr>
        <w:t>September 2011</w:t>
      </w:r>
      <w:r>
        <w:rPr>
          <w:rFonts w:ascii="Times New Roman" w:eastAsia="Times New Roman" w:hAnsi="Times New Roman" w:cs="Times New Roman"/>
          <w:vertAlign w:val="superscript"/>
        </w:rPr>
        <w:footnoteReference w:id="3"/>
      </w:r>
      <w:r>
        <w:rPr>
          <w:rFonts w:ascii="Times New Roman" w:eastAsia="Times New Roman" w:hAnsi="Times New Roman" w:cs="Times New Roman"/>
        </w:rPr>
        <w:t xml:space="preserve"> and that the Security Council referred the application to the Committee on the Admission of New Members</w:t>
      </w:r>
      <w:r w:rsidR="00787CF8">
        <w:rPr>
          <w:rFonts w:ascii="Times New Roman" w:eastAsia="Times New Roman" w:hAnsi="Times New Roman" w:cs="Times New Roman"/>
        </w:rPr>
        <w:t xml:space="preserve"> (“Committee”)</w:t>
      </w:r>
      <w:r>
        <w:rPr>
          <w:rFonts w:ascii="Times New Roman" w:eastAsia="Times New Roman" w:hAnsi="Times New Roman" w:cs="Times New Roman"/>
        </w:rPr>
        <w:t>,</w:t>
      </w:r>
    </w:p>
    <w:p w14:paraId="1FDE671D" w14:textId="77777777" w:rsidR="005E2DCE" w:rsidRDefault="005E2DCE">
      <w:pPr>
        <w:spacing w:after="0" w:line="276" w:lineRule="auto"/>
        <w:rPr>
          <w:rFonts w:ascii="Times New Roman" w:eastAsia="Times New Roman" w:hAnsi="Times New Roman" w:cs="Times New Roman"/>
        </w:rPr>
      </w:pPr>
    </w:p>
    <w:p w14:paraId="322678F6" w14:textId="59F38BD5" w:rsidR="005E2DCE" w:rsidRDefault="007275E2">
      <w:pPr>
        <w:spacing w:after="0" w:line="276" w:lineRule="auto"/>
        <w:rPr>
          <w:rFonts w:ascii="Times New Roman" w:eastAsia="Times New Roman" w:hAnsi="Times New Roman" w:cs="Times New Roman"/>
        </w:rPr>
      </w:pPr>
      <w:r>
        <w:rPr>
          <w:rFonts w:ascii="Times New Roman" w:eastAsia="Times New Roman" w:hAnsi="Times New Roman" w:cs="Times New Roman"/>
          <w:i/>
        </w:rPr>
        <w:t>Further recalling</w:t>
      </w:r>
      <w:r>
        <w:rPr>
          <w:rFonts w:ascii="Times New Roman" w:eastAsia="Times New Roman" w:hAnsi="Times New Roman" w:cs="Times New Roman"/>
        </w:rPr>
        <w:t xml:space="preserve"> that a decision on the earlier application resulted in a report of the Committee</w:t>
      </w:r>
      <w:r>
        <w:rPr>
          <w:rFonts w:ascii="Times New Roman" w:eastAsia="Times New Roman" w:hAnsi="Times New Roman" w:cs="Times New Roman"/>
          <w:vertAlign w:val="superscript"/>
        </w:rPr>
        <w:footnoteReference w:id="4"/>
      </w:r>
      <w:r>
        <w:rPr>
          <w:rFonts w:ascii="Times New Roman" w:eastAsia="Times New Roman" w:hAnsi="Times New Roman" w:cs="Times New Roman"/>
        </w:rPr>
        <w:t xml:space="preserve"> wherein Palestine was not recommended for UN member status due to Hamas’</w:t>
      </w:r>
      <w:r>
        <w:rPr>
          <w:rFonts w:ascii="Times New Roman" w:eastAsia="Times New Roman" w:hAnsi="Times New Roman" w:cs="Times New Roman"/>
          <w:vertAlign w:val="superscript"/>
        </w:rPr>
        <w:footnoteReference w:id="5"/>
      </w:r>
      <w:r>
        <w:rPr>
          <w:rFonts w:ascii="Times New Roman" w:eastAsia="Times New Roman" w:hAnsi="Times New Roman" w:cs="Times New Roman"/>
        </w:rPr>
        <w:t xml:space="preserve"> non-compliance with the “peace-</w:t>
      </w:r>
      <w:r>
        <w:rPr>
          <w:rFonts w:ascii="Times New Roman" w:eastAsia="Times New Roman" w:hAnsi="Times New Roman" w:cs="Times New Roman"/>
        </w:rPr>
        <w:lastRenderedPageBreak/>
        <w:t>loving” obligation set forth in the UN Charter, but Palestine was granted non-member observer status as an “interim” step,</w:t>
      </w:r>
    </w:p>
    <w:p w14:paraId="08FB3C67" w14:textId="77777777" w:rsidR="005E2DCE" w:rsidRDefault="005E2DCE">
      <w:pPr>
        <w:spacing w:after="0" w:line="276" w:lineRule="auto"/>
        <w:rPr>
          <w:rFonts w:ascii="Times New Roman" w:eastAsia="Times New Roman" w:hAnsi="Times New Roman" w:cs="Times New Roman"/>
        </w:rPr>
      </w:pPr>
    </w:p>
    <w:p w14:paraId="2948F663" w14:textId="6F485706" w:rsidR="005E2DCE" w:rsidRDefault="00787CF8">
      <w:pPr>
        <w:spacing w:after="0" w:line="276" w:lineRule="auto"/>
        <w:rPr>
          <w:rFonts w:ascii="Times New Roman" w:eastAsia="Times New Roman" w:hAnsi="Times New Roman" w:cs="Times New Roman"/>
        </w:rPr>
      </w:pPr>
      <w:r>
        <w:rPr>
          <w:rFonts w:ascii="Times New Roman" w:eastAsia="Times New Roman" w:hAnsi="Times New Roman" w:cs="Times New Roman"/>
          <w:i/>
        </w:rPr>
        <w:t>Noting</w:t>
      </w:r>
      <w:r w:rsidR="007275E2">
        <w:rPr>
          <w:rFonts w:ascii="Times New Roman" w:eastAsia="Times New Roman" w:hAnsi="Times New Roman" w:cs="Times New Roman"/>
        </w:rPr>
        <w:t xml:space="preserve"> that the granting of this status was merely the first step in the continuation of efforts for Palestine to achieve full UN membership,</w:t>
      </w:r>
    </w:p>
    <w:p w14:paraId="6F210BEE" w14:textId="77777777" w:rsidR="005E2DCE" w:rsidRDefault="005E2DCE">
      <w:pPr>
        <w:spacing w:after="0" w:line="276" w:lineRule="auto"/>
        <w:rPr>
          <w:rFonts w:ascii="Times New Roman" w:eastAsia="Times New Roman" w:hAnsi="Times New Roman" w:cs="Times New Roman"/>
        </w:rPr>
      </w:pPr>
    </w:p>
    <w:p w14:paraId="61D38CBD" w14:textId="2CC1477A" w:rsidR="005E2DCE" w:rsidRDefault="00787CF8">
      <w:pPr>
        <w:spacing w:after="0" w:line="276" w:lineRule="auto"/>
        <w:rPr>
          <w:rFonts w:ascii="Times New Roman" w:eastAsia="Times New Roman" w:hAnsi="Times New Roman" w:cs="Times New Roman"/>
        </w:rPr>
      </w:pPr>
      <w:r>
        <w:rPr>
          <w:rFonts w:ascii="Times New Roman" w:eastAsia="Times New Roman" w:hAnsi="Times New Roman" w:cs="Times New Roman"/>
          <w:i/>
        </w:rPr>
        <w:t>Recognizing</w:t>
      </w:r>
      <w:r w:rsidR="007275E2">
        <w:rPr>
          <w:rFonts w:ascii="Times New Roman" w:eastAsia="Times New Roman" w:hAnsi="Times New Roman" w:cs="Times New Roman"/>
        </w:rPr>
        <w:t xml:space="preserve"> that the greater implications of Palestinian UN membership include its impact on the Arab-Israeli peace process and the definition of Palestinian borders, </w:t>
      </w:r>
    </w:p>
    <w:p w14:paraId="0BCB226E" w14:textId="77777777" w:rsidR="005E2DCE" w:rsidRDefault="005E2DCE">
      <w:pPr>
        <w:spacing w:after="0" w:line="276" w:lineRule="auto"/>
        <w:rPr>
          <w:rFonts w:ascii="Times New Roman" w:eastAsia="Times New Roman" w:hAnsi="Times New Roman" w:cs="Times New Roman"/>
        </w:rPr>
      </w:pPr>
    </w:p>
    <w:p w14:paraId="0AF47B6E" w14:textId="77777777" w:rsidR="005E2DCE" w:rsidRDefault="007275E2">
      <w:pPr>
        <w:spacing w:after="0" w:line="276" w:lineRule="auto"/>
        <w:rPr>
          <w:rFonts w:ascii="Times New Roman" w:eastAsia="Times New Roman" w:hAnsi="Times New Roman" w:cs="Times New Roman"/>
        </w:rPr>
      </w:pPr>
      <w:r>
        <w:rPr>
          <w:rFonts w:ascii="Times New Roman" w:eastAsia="Times New Roman" w:hAnsi="Times New Roman" w:cs="Times New Roman"/>
          <w:i/>
        </w:rPr>
        <w:t>Knowing</w:t>
      </w:r>
      <w:r>
        <w:rPr>
          <w:rFonts w:ascii="Times New Roman" w:eastAsia="Times New Roman" w:hAnsi="Times New Roman" w:cs="Times New Roman"/>
        </w:rPr>
        <w:t xml:space="preserve"> that the situation in Palestine has changed since the original application was submitted in 2011, and the renewed application should now be considered in light of the recent changes in the administration of Palestine,</w:t>
      </w:r>
      <w:r>
        <w:rPr>
          <w:rFonts w:ascii="Times New Roman" w:eastAsia="Times New Roman" w:hAnsi="Times New Roman" w:cs="Times New Roman"/>
          <w:vertAlign w:val="superscript"/>
        </w:rPr>
        <w:footnoteReference w:id="6"/>
      </w:r>
    </w:p>
    <w:p w14:paraId="602FD78B" w14:textId="77777777" w:rsidR="005E2DCE" w:rsidRDefault="007275E2">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 </w:t>
      </w:r>
    </w:p>
    <w:p w14:paraId="266CCC42" w14:textId="5EC01BEC" w:rsidR="005E2DCE" w:rsidRDefault="00787CF8">
      <w:pPr>
        <w:spacing w:after="0" w:line="276" w:lineRule="auto"/>
        <w:rPr>
          <w:rFonts w:ascii="Times New Roman" w:eastAsia="Times New Roman" w:hAnsi="Times New Roman" w:cs="Times New Roman"/>
        </w:rPr>
      </w:pPr>
      <w:r>
        <w:rPr>
          <w:rFonts w:ascii="Times New Roman" w:eastAsia="Times New Roman" w:hAnsi="Times New Roman" w:cs="Times New Roman"/>
          <w:i/>
        </w:rPr>
        <w:t>Highlighting</w:t>
      </w:r>
      <w:r w:rsidR="007275E2">
        <w:rPr>
          <w:rFonts w:ascii="Times New Roman" w:eastAsia="Times New Roman" w:hAnsi="Times New Roman" w:cs="Times New Roman"/>
          <w:i/>
        </w:rPr>
        <w:t xml:space="preserve"> </w:t>
      </w:r>
      <w:r w:rsidR="007275E2">
        <w:rPr>
          <w:rFonts w:ascii="Times New Roman" w:eastAsia="Times New Roman" w:hAnsi="Times New Roman" w:cs="Times New Roman"/>
        </w:rPr>
        <w:t>that the Committee</w:t>
      </w:r>
      <w:r>
        <w:rPr>
          <w:rFonts w:ascii="Times New Roman" w:eastAsia="Times New Roman" w:hAnsi="Times New Roman" w:cs="Times New Roman"/>
        </w:rPr>
        <w:t xml:space="preserve">, after reviewing the Security Council’s recent denial of Palestine’s renewed application, </w:t>
      </w:r>
      <w:r w:rsidR="007275E2">
        <w:rPr>
          <w:rFonts w:ascii="Times New Roman" w:eastAsia="Times New Roman" w:hAnsi="Times New Roman" w:cs="Times New Roman"/>
        </w:rPr>
        <w:t>has reconsidered and recommended for approval the renewed membership application of Palestine, and that the developments that warranted this reconsideration</w:t>
      </w:r>
      <w:r>
        <w:rPr>
          <w:rFonts w:ascii="Times New Roman" w:eastAsia="Times New Roman" w:hAnsi="Times New Roman" w:cs="Times New Roman"/>
        </w:rPr>
        <w:t xml:space="preserve"> and recommended approval</w:t>
      </w:r>
      <w:r w:rsidR="007275E2">
        <w:rPr>
          <w:rFonts w:ascii="Times New Roman" w:eastAsia="Times New Roman" w:hAnsi="Times New Roman" w:cs="Times New Roman"/>
        </w:rPr>
        <w:t xml:space="preserve"> include:</w:t>
      </w:r>
    </w:p>
    <w:p w14:paraId="36E4D4DF" w14:textId="33874FA3" w:rsidR="005E2DCE" w:rsidRDefault="007275E2">
      <w:pPr>
        <w:numPr>
          <w:ilvl w:val="0"/>
          <w:numId w:val="3"/>
        </w:numPr>
        <w:spacing w:after="0" w:line="276" w:lineRule="auto"/>
        <w:contextualSpacing/>
        <w:rPr>
          <w:rFonts w:ascii="Times New Roman" w:eastAsia="Times New Roman" w:hAnsi="Times New Roman" w:cs="Times New Roman"/>
        </w:rPr>
      </w:pPr>
      <w:r>
        <w:rPr>
          <w:rFonts w:ascii="Times New Roman" w:eastAsia="Times New Roman" w:hAnsi="Times New Roman" w:cs="Times New Roman"/>
        </w:rPr>
        <w:t>the aforementioned agreement between Hamas and the Palestinian Authority, that the Authority will be the governing authority for both the Gaza Strip and the West Bank,</w:t>
      </w:r>
      <w:r w:rsidR="00787CF8">
        <w:rPr>
          <w:rFonts w:ascii="Times New Roman" w:eastAsia="Times New Roman" w:hAnsi="Times New Roman" w:cs="Times New Roman"/>
        </w:rPr>
        <w:t xml:space="preserve"> and</w:t>
      </w:r>
    </w:p>
    <w:p w14:paraId="03C74123" w14:textId="4CB950FD" w:rsidR="005E2DCE" w:rsidRDefault="007275E2">
      <w:pPr>
        <w:numPr>
          <w:ilvl w:val="0"/>
          <w:numId w:val="3"/>
        </w:numPr>
        <w:spacing w:after="0" w:line="276" w:lineRule="auto"/>
        <w:contextualSpacing/>
        <w:rPr>
          <w:rFonts w:ascii="Times New Roman" w:eastAsia="Times New Roman" w:hAnsi="Times New Roman" w:cs="Times New Roman"/>
        </w:rPr>
      </w:pPr>
      <w:r>
        <w:rPr>
          <w:rFonts w:ascii="Times New Roman" w:eastAsia="Times New Roman" w:hAnsi="Times New Roman" w:cs="Times New Roman"/>
        </w:rPr>
        <w:t>that Palestine’s status as an Observer State has not had a negative impact on the peace talks between Israel and Palestine</w:t>
      </w:r>
      <w:r w:rsidR="00787CF8">
        <w:rPr>
          <w:rFonts w:ascii="Times New Roman" w:eastAsia="Times New Roman" w:hAnsi="Times New Roman" w:cs="Times New Roman"/>
        </w:rPr>
        <w:t xml:space="preserve"> or on any meetings or other operations of the General Assembly</w:t>
      </w:r>
      <w:r>
        <w:rPr>
          <w:rFonts w:ascii="Times New Roman" w:eastAsia="Times New Roman" w:hAnsi="Times New Roman" w:cs="Times New Roman"/>
        </w:rPr>
        <w:t>,</w:t>
      </w:r>
    </w:p>
    <w:p w14:paraId="0E1A9231" w14:textId="77777777" w:rsidR="005E2DCE" w:rsidRDefault="007275E2">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 </w:t>
      </w:r>
    </w:p>
    <w:p w14:paraId="2C67174D" w14:textId="0AFC2692" w:rsidR="005E2DCE" w:rsidRDefault="00787CF8">
      <w:pPr>
        <w:spacing w:after="0" w:line="276" w:lineRule="auto"/>
        <w:rPr>
          <w:rFonts w:ascii="Times New Roman" w:eastAsia="Times New Roman" w:hAnsi="Times New Roman" w:cs="Times New Roman"/>
        </w:rPr>
      </w:pPr>
      <w:r>
        <w:rPr>
          <w:rFonts w:ascii="Times New Roman" w:eastAsia="Times New Roman" w:hAnsi="Times New Roman" w:cs="Times New Roman"/>
          <w:i/>
        </w:rPr>
        <w:t>Emphasizing</w:t>
      </w:r>
      <w:r w:rsidR="007275E2">
        <w:rPr>
          <w:rFonts w:ascii="Times New Roman" w:eastAsia="Times New Roman" w:hAnsi="Times New Roman" w:cs="Times New Roman"/>
        </w:rPr>
        <w:t xml:space="preserve"> the many positive effects Palestinian statehood and UN membership may likely have on the living conditions in the West Bank and Gaza Strip, including without limitation the following: </w:t>
      </w:r>
    </w:p>
    <w:p w14:paraId="09F5B2FA" w14:textId="77777777" w:rsidR="005E2DCE" w:rsidRDefault="007275E2">
      <w:pPr>
        <w:numPr>
          <w:ilvl w:val="0"/>
          <w:numId w:val="2"/>
        </w:numPr>
        <w:spacing w:after="0" w:line="276" w:lineRule="auto"/>
        <w:contextualSpacing/>
        <w:rPr>
          <w:rFonts w:ascii="Times New Roman" w:eastAsia="Times New Roman" w:hAnsi="Times New Roman" w:cs="Times New Roman"/>
        </w:rPr>
      </w:pPr>
      <w:r>
        <w:rPr>
          <w:rFonts w:ascii="Times New Roman" w:eastAsia="Times New Roman" w:hAnsi="Times New Roman" w:cs="Times New Roman"/>
        </w:rPr>
        <w:t>increased protection from violence perpetrated by neighboring countries, as well as more effective means for holding Palestinians accountable for any aggression on their part,</w:t>
      </w:r>
    </w:p>
    <w:p w14:paraId="31DFD7AB" w14:textId="77777777" w:rsidR="005E2DCE" w:rsidRDefault="007275E2">
      <w:pPr>
        <w:numPr>
          <w:ilvl w:val="0"/>
          <w:numId w:val="2"/>
        </w:numPr>
        <w:spacing w:after="0" w:line="276" w:lineRule="auto"/>
        <w:contextualSpacing/>
        <w:rPr>
          <w:rFonts w:ascii="Times New Roman" w:eastAsia="Times New Roman" w:hAnsi="Times New Roman" w:cs="Times New Roman"/>
        </w:rPr>
      </w:pPr>
      <w:r>
        <w:rPr>
          <w:rFonts w:ascii="Times New Roman" w:eastAsia="Times New Roman" w:hAnsi="Times New Roman" w:cs="Times New Roman"/>
        </w:rPr>
        <w:t>relief of severe thirst and lack of resources for Palestinians living in these regions, and therefore reducing widespread poverty,</w:t>
      </w:r>
    </w:p>
    <w:p w14:paraId="73619375" w14:textId="77777777" w:rsidR="005E2DCE" w:rsidRDefault="007275E2">
      <w:pPr>
        <w:numPr>
          <w:ilvl w:val="0"/>
          <w:numId w:val="2"/>
        </w:numPr>
        <w:spacing w:after="0" w:line="276" w:lineRule="auto"/>
        <w:contextualSpacing/>
        <w:rPr>
          <w:rFonts w:ascii="Times New Roman" w:eastAsia="Times New Roman" w:hAnsi="Times New Roman" w:cs="Times New Roman"/>
        </w:rPr>
      </w:pPr>
      <w:r>
        <w:rPr>
          <w:rFonts w:ascii="Times New Roman" w:eastAsia="Times New Roman" w:hAnsi="Times New Roman" w:cs="Times New Roman"/>
        </w:rPr>
        <w:t xml:space="preserve">increased access to a proper education for Palestinian youth, resulting in significantly lower rates of child trafficking, abduction, forced labor, and recruitment of children into militant groups, </w:t>
      </w:r>
    </w:p>
    <w:p w14:paraId="0162F5A1" w14:textId="77777777" w:rsidR="005E2DCE" w:rsidRDefault="007275E2">
      <w:pPr>
        <w:numPr>
          <w:ilvl w:val="0"/>
          <w:numId w:val="2"/>
        </w:numPr>
        <w:spacing w:after="0" w:line="276" w:lineRule="auto"/>
        <w:contextualSpacing/>
        <w:rPr>
          <w:rFonts w:ascii="Times New Roman" w:eastAsia="Times New Roman" w:hAnsi="Times New Roman" w:cs="Times New Roman"/>
        </w:rPr>
      </w:pPr>
      <w:r>
        <w:rPr>
          <w:rFonts w:ascii="Times New Roman" w:eastAsia="Times New Roman" w:hAnsi="Times New Roman" w:cs="Times New Roman"/>
        </w:rPr>
        <w:t>the establishment of a framework for a peace-loving, sovereign state with great potential for social and economic development in the coming years,</w:t>
      </w:r>
    </w:p>
    <w:p w14:paraId="4C75DA5C" w14:textId="77777777" w:rsidR="005E2DCE" w:rsidRDefault="007275E2">
      <w:pPr>
        <w:numPr>
          <w:ilvl w:val="0"/>
          <w:numId w:val="2"/>
        </w:numPr>
        <w:spacing w:after="0" w:line="276" w:lineRule="auto"/>
        <w:contextualSpacing/>
        <w:rPr>
          <w:rFonts w:ascii="Times New Roman" w:eastAsia="Times New Roman" w:hAnsi="Times New Roman" w:cs="Times New Roman"/>
        </w:rPr>
      </w:pPr>
      <w:r>
        <w:rPr>
          <w:rFonts w:ascii="Times New Roman" w:eastAsia="Times New Roman" w:hAnsi="Times New Roman" w:cs="Times New Roman"/>
        </w:rPr>
        <w:t>diminish the frequency and likelihood of continued conflict in the region by providing a peaceful platform in which Palestinians can legitimately voice concerns for their safety and prosperity to the international community,</w:t>
      </w:r>
    </w:p>
    <w:p w14:paraId="6046D017" w14:textId="77777777" w:rsidR="005E2DCE" w:rsidRDefault="005E2DCE">
      <w:pPr>
        <w:spacing w:after="0" w:line="276" w:lineRule="auto"/>
        <w:rPr>
          <w:rFonts w:ascii="Times New Roman" w:eastAsia="Times New Roman" w:hAnsi="Times New Roman" w:cs="Times New Roman"/>
          <w:i/>
        </w:rPr>
      </w:pPr>
    </w:p>
    <w:p w14:paraId="17A9F167" w14:textId="77777777" w:rsidR="005E2DCE" w:rsidRDefault="007275E2">
      <w:pPr>
        <w:spacing w:after="0" w:line="276" w:lineRule="auto"/>
        <w:rPr>
          <w:rFonts w:ascii="Times New Roman" w:eastAsia="Times New Roman" w:hAnsi="Times New Roman" w:cs="Times New Roman"/>
        </w:rPr>
      </w:pPr>
      <w:r>
        <w:rPr>
          <w:rFonts w:ascii="Times New Roman" w:eastAsia="Times New Roman" w:hAnsi="Times New Roman" w:cs="Times New Roman"/>
          <w:i/>
        </w:rPr>
        <w:t>Noting with concern</w:t>
      </w:r>
      <w:r>
        <w:rPr>
          <w:rFonts w:ascii="Times New Roman" w:eastAsia="Times New Roman" w:hAnsi="Times New Roman" w:cs="Times New Roman"/>
        </w:rPr>
        <w:t xml:space="preserve"> the recent announcement by United States President Donald Trump declaring his nation’s intentions to move the American Embassy in Israel to the Holy City of Jerusalem and its recognition of the Holy City in its entirety as Israel’s capital and the likelihood that this might have a very negative effect on peace in the region,</w:t>
      </w:r>
    </w:p>
    <w:p w14:paraId="6D9EB73C" w14:textId="77777777" w:rsidR="005E2DCE" w:rsidRDefault="005E2DCE">
      <w:pPr>
        <w:spacing w:after="0" w:line="276" w:lineRule="auto"/>
        <w:rPr>
          <w:rFonts w:ascii="Times New Roman" w:eastAsia="Times New Roman" w:hAnsi="Times New Roman" w:cs="Times New Roman"/>
        </w:rPr>
      </w:pPr>
    </w:p>
    <w:p w14:paraId="7CE86930" w14:textId="77777777" w:rsidR="005E2DCE" w:rsidRDefault="005E2DCE">
      <w:pPr>
        <w:spacing w:after="0" w:line="276" w:lineRule="auto"/>
        <w:rPr>
          <w:rFonts w:ascii="Times New Roman" w:eastAsia="Times New Roman" w:hAnsi="Times New Roman" w:cs="Times New Roman"/>
        </w:rPr>
      </w:pPr>
    </w:p>
    <w:p w14:paraId="7B1841F5" w14:textId="77777777" w:rsidR="005E2DCE" w:rsidRDefault="007275E2">
      <w:pPr>
        <w:numPr>
          <w:ilvl w:val="0"/>
          <w:numId w:val="1"/>
        </w:numPr>
        <w:spacing w:after="0" w:line="276" w:lineRule="auto"/>
        <w:rPr>
          <w:rFonts w:ascii="Times New Roman" w:eastAsia="Times New Roman" w:hAnsi="Times New Roman" w:cs="Times New Roman"/>
          <w:i/>
        </w:rPr>
      </w:pPr>
      <w:r>
        <w:rPr>
          <w:rFonts w:ascii="Times New Roman" w:eastAsia="Times New Roman" w:hAnsi="Times New Roman" w:cs="Times New Roman"/>
          <w:i/>
        </w:rPr>
        <w:t>Strongly exhorts</w:t>
      </w:r>
      <w:r>
        <w:rPr>
          <w:rFonts w:ascii="Times New Roman" w:eastAsia="Times New Roman" w:hAnsi="Times New Roman" w:cs="Times New Roman"/>
        </w:rPr>
        <w:t xml:space="preserve"> that the United States government suspend plans to move the American Embassy in Israel to Jerusalem for the sake of ensuring a peaceful environment in the region as negotiations take place, as set out by the terms of UN Resolution A/ES‑10/L.22 concerning the recognition of Jerusalem as the capital of Israel;</w:t>
      </w:r>
      <w:r>
        <w:rPr>
          <w:rFonts w:ascii="Times New Roman" w:eastAsia="Times New Roman" w:hAnsi="Times New Roman" w:cs="Times New Roman"/>
          <w:vertAlign w:val="superscript"/>
        </w:rPr>
        <w:footnoteReference w:id="7"/>
      </w:r>
    </w:p>
    <w:p w14:paraId="6CA74704" w14:textId="77777777" w:rsidR="005E2DCE" w:rsidRDefault="005E2DCE">
      <w:pPr>
        <w:spacing w:after="0" w:line="276" w:lineRule="auto"/>
        <w:rPr>
          <w:rFonts w:ascii="Times New Roman" w:eastAsia="Times New Roman" w:hAnsi="Times New Roman" w:cs="Times New Roman"/>
        </w:rPr>
      </w:pPr>
    </w:p>
    <w:p w14:paraId="685C5DC3" w14:textId="77777777" w:rsidR="005E2DCE" w:rsidRDefault="007275E2">
      <w:pPr>
        <w:numPr>
          <w:ilvl w:val="0"/>
          <w:numId w:val="1"/>
        </w:numPr>
        <w:spacing w:after="0" w:line="276" w:lineRule="auto"/>
        <w:rPr>
          <w:rFonts w:ascii="Times New Roman" w:eastAsia="Times New Roman" w:hAnsi="Times New Roman" w:cs="Times New Roman"/>
          <w:i/>
        </w:rPr>
      </w:pPr>
      <w:r>
        <w:rPr>
          <w:rFonts w:ascii="Times New Roman" w:eastAsia="Times New Roman" w:hAnsi="Times New Roman" w:cs="Times New Roman"/>
          <w:i/>
        </w:rPr>
        <w:t>Congratulates t</w:t>
      </w:r>
      <w:r>
        <w:rPr>
          <w:rFonts w:ascii="Times New Roman" w:eastAsia="Times New Roman" w:hAnsi="Times New Roman" w:cs="Times New Roman"/>
        </w:rPr>
        <w:t>he parties to  the aforementioned agreement between the Palestinian Authority and Hamas concerning governmental power over Palestine;</w:t>
      </w:r>
    </w:p>
    <w:p w14:paraId="3A85DEAD" w14:textId="77777777" w:rsidR="005E2DCE" w:rsidRDefault="005E2DCE">
      <w:pPr>
        <w:spacing w:after="0" w:line="276" w:lineRule="auto"/>
        <w:rPr>
          <w:rFonts w:ascii="Times New Roman" w:eastAsia="Times New Roman" w:hAnsi="Times New Roman" w:cs="Times New Roman"/>
        </w:rPr>
      </w:pPr>
    </w:p>
    <w:p w14:paraId="3CBC6EB6" w14:textId="77777777" w:rsidR="005E2DCE" w:rsidRDefault="007275E2">
      <w:pPr>
        <w:numPr>
          <w:ilvl w:val="0"/>
          <w:numId w:val="1"/>
        </w:numPr>
        <w:spacing w:after="0" w:line="276" w:lineRule="auto"/>
        <w:rPr>
          <w:rFonts w:ascii="Times New Roman" w:eastAsia="Times New Roman" w:hAnsi="Times New Roman" w:cs="Times New Roman"/>
          <w:i/>
        </w:rPr>
      </w:pPr>
      <w:r>
        <w:rPr>
          <w:rFonts w:ascii="Times New Roman" w:eastAsia="Times New Roman" w:hAnsi="Times New Roman" w:cs="Times New Roman"/>
          <w:i/>
        </w:rPr>
        <w:t xml:space="preserve">Encourages </w:t>
      </w:r>
      <w:r>
        <w:rPr>
          <w:rFonts w:ascii="Times New Roman" w:eastAsia="Times New Roman" w:hAnsi="Times New Roman" w:cs="Times New Roman"/>
        </w:rPr>
        <w:t xml:space="preserve">regular UN-sponsored diplomatic summits among all involved states to set mutually beneficial parameters for the realization of a peaceful two-state solution; </w:t>
      </w:r>
    </w:p>
    <w:p w14:paraId="23F00A1F" w14:textId="77777777" w:rsidR="005E2DCE" w:rsidRDefault="005E2DCE">
      <w:pPr>
        <w:spacing w:after="0" w:line="276" w:lineRule="auto"/>
        <w:rPr>
          <w:rFonts w:ascii="Times New Roman" w:eastAsia="Times New Roman" w:hAnsi="Times New Roman" w:cs="Times New Roman"/>
        </w:rPr>
      </w:pPr>
    </w:p>
    <w:p w14:paraId="4AC0FE1C" w14:textId="06606FDB" w:rsidR="005E2DCE" w:rsidRDefault="007275E2">
      <w:pPr>
        <w:numPr>
          <w:ilvl w:val="0"/>
          <w:numId w:val="1"/>
        </w:numPr>
        <w:spacing w:after="0" w:line="276" w:lineRule="auto"/>
        <w:rPr>
          <w:rFonts w:ascii="Times New Roman" w:eastAsia="Times New Roman" w:hAnsi="Times New Roman" w:cs="Times New Roman"/>
          <w:i/>
        </w:rPr>
      </w:pPr>
      <w:r>
        <w:rPr>
          <w:rFonts w:ascii="Times New Roman" w:eastAsia="Times New Roman" w:hAnsi="Times New Roman" w:cs="Times New Roman"/>
          <w:i/>
        </w:rPr>
        <w:t xml:space="preserve">Proposes </w:t>
      </w:r>
      <w:r>
        <w:rPr>
          <w:rFonts w:ascii="Times New Roman" w:eastAsia="Times New Roman" w:hAnsi="Times New Roman" w:cs="Times New Roman"/>
        </w:rPr>
        <w:t>the creation of a coalition of non-governmental organizations, including the United Nations Relief and Works Agency for Palestine Refugees in the Near East (“UNRWA”), the Saïd Foundation, Project Hope, and Save the Children, to make recommendations on improving human rights conditions in the West Bank and Gaza Strip;</w:t>
      </w:r>
    </w:p>
    <w:p w14:paraId="68E15083" w14:textId="77777777" w:rsidR="005E2DCE" w:rsidRDefault="005E2DCE">
      <w:pPr>
        <w:spacing w:after="0" w:line="276" w:lineRule="auto"/>
        <w:rPr>
          <w:rFonts w:ascii="Times New Roman" w:eastAsia="Times New Roman" w:hAnsi="Times New Roman" w:cs="Times New Roman"/>
        </w:rPr>
      </w:pPr>
    </w:p>
    <w:p w14:paraId="26DA915A" w14:textId="4DAB149F" w:rsidR="005E2DCE" w:rsidRDefault="00826F48">
      <w:pPr>
        <w:numPr>
          <w:ilvl w:val="0"/>
          <w:numId w:val="1"/>
        </w:numPr>
        <w:spacing w:after="0" w:line="276" w:lineRule="auto"/>
        <w:rPr>
          <w:rFonts w:ascii="Times New Roman" w:eastAsia="Times New Roman" w:hAnsi="Times New Roman" w:cs="Times New Roman"/>
          <w:i/>
        </w:rPr>
      </w:pPr>
      <w:r>
        <w:rPr>
          <w:rFonts w:ascii="Times New Roman" w:eastAsia="Times New Roman" w:hAnsi="Times New Roman" w:cs="Times New Roman"/>
          <w:i/>
        </w:rPr>
        <w:t xml:space="preserve">Emphatically </w:t>
      </w:r>
      <w:r w:rsidR="00EE73BE">
        <w:rPr>
          <w:rFonts w:ascii="Times New Roman" w:eastAsia="Times New Roman" w:hAnsi="Times New Roman" w:cs="Times New Roman"/>
          <w:i/>
        </w:rPr>
        <w:t xml:space="preserve">calls </w:t>
      </w:r>
      <w:r w:rsidR="0009590C">
        <w:rPr>
          <w:rFonts w:ascii="Times New Roman" w:eastAsia="Times New Roman" w:hAnsi="Times New Roman" w:cs="Times New Roman"/>
          <w:i/>
        </w:rPr>
        <w:t>up</w:t>
      </w:r>
      <w:r w:rsidR="00EE73BE">
        <w:rPr>
          <w:rFonts w:ascii="Times New Roman" w:eastAsia="Times New Roman" w:hAnsi="Times New Roman" w:cs="Times New Roman"/>
          <w:i/>
        </w:rPr>
        <w:t>on</w:t>
      </w:r>
      <w:r w:rsidR="007275E2">
        <w:rPr>
          <w:rFonts w:ascii="Times New Roman" w:eastAsia="Times New Roman" w:hAnsi="Times New Roman" w:cs="Times New Roman"/>
        </w:rPr>
        <w:t xml:space="preserve"> </w:t>
      </w:r>
      <w:r w:rsidR="0009590C">
        <w:rPr>
          <w:rFonts w:ascii="Times New Roman" w:eastAsia="Times New Roman" w:hAnsi="Times New Roman" w:cs="Times New Roman"/>
        </w:rPr>
        <w:t>M</w:t>
      </w:r>
      <w:r w:rsidR="007275E2">
        <w:rPr>
          <w:rFonts w:ascii="Times New Roman" w:eastAsia="Times New Roman" w:hAnsi="Times New Roman" w:cs="Times New Roman"/>
        </w:rPr>
        <w:t xml:space="preserve">ember </w:t>
      </w:r>
      <w:r w:rsidR="0009590C">
        <w:rPr>
          <w:rFonts w:ascii="Times New Roman" w:eastAsia="Times New Roman" w:hAnsi="Times New Roman" w:cs="Times New Roman"/>
        </w:rPr>
        <w:t>S</w:t>
      </w:r>
      <w:bookmarkStart w:id="1" w:name="_GoBack"/>
      <w:bookmarkEnd w:id="1"/>
      <w:r w:rsidR="007275E2">
        <w:rPr>
          <w:rFonts w:ascii="Times New Roman" w:eastAsia="Times New Roman" w:hAnsi="Times New Roman" w:cs="Times New Roman"/>
        </w:rPr>
        <w:t xml:space="preserve">tates, including but certainly not limited to those neighboring Palestine, to </w:t>
      </w:r>
      <w:r w:rsidR="00787CF8">
        <w:rPr>
          <w:rFonts w:ascii="Times New Roman" w:eastAsia="Times New Roman" w:hAnsi="Times New Roman" w:cs="Times New Roman"/>
        </w:rPr>
        <w:t xml:space="preserve">contribute monies to </w:t>
      </w:r>
      <w:r w:rsidR="007275E2">
        <w:rPr>
          <w:rFonts w:ascii="Times New Roman" w:eastAsia="Times New Roman" w:hAnsi="Times New Roman" w:cs="Times New Roman"/>
        </w:rPr>
        <w:t xml:space="preserve">establish a fund to financially support the aforementioned coalition’s efforts and operations, and that these funds be allocated to areas including: </w:t>
      </w:r>
    </w:p>
    <w:p w14:paraId="2A06E26B" w14:textId="77777777" w:rsidR="005E2DCE" w:rsidRDefault="007275E2">
      <w:pPr>
        <w:numPr>
          <w:ilvl w:val="1"/>
          <w:numId w:val="1"/>
        </w:numPr>
        <w:spacing w:after="0" w:line="276" w:lineRule="auto"/>
        <w:rPr>
          <w:rFonts w:ascii="Times New Roman" w:eastAsia="Times New Roman" w:hAnsi="Times New Roman" w:cs="Times New Roman"/>
        </w:rPr>
      </w:pPr>
      <w:r>
        <w:rPr>
          <w:rFonts w:ascii="Times New Roman" w:eastAsia="Times New Roman" w:hAnsi="Times New Roman" w:cs="Times New Roman"/>
        </w:rPr>
        <w:t>Rebuilding shelters and educational facilities destroyed in violent conflict,</w:t>
      </w:r>
    </w:p>
    <w:p w14:paraId="6528E99A" w14:textId="77777777" w:rsidR="005E2DCE" w:rsidRDefault="007275E2">
      <w:pPr>
        <w:numPr>
          <w:ilvl w:val="1"/>
          <w:numId w:val="1"/>
        </w:numPr>
        <w:spacing w:after="0" w:line="276" w:lineRule="auto"/>
        <w:rPr>
          <w:rFonts w:ascii="Times New Roman" w:eastAsia="Times New Roman" w:hAnsi="Times New Roman" w:cs="Times New Roman"/>
        </w:rPr>
      </w:pPr>
      <w:r>
        <w:rPr>
          <w:rFonts w:ascii="Times New Roman" w:eastAsia="Times New Roman" w:hAnsi="Times New Roman" w:cs="Times New Roman"/>
        </w:rPr>
        <w:t>School supplies and clothing for underage inhabitants in the West Bank and Gaza Strip,</w:t>
      </w:r>
    </w:p>
    <w:p w14:paraId="6D96A4C4" w14:textId="77777777" w:rsidR="005E2DCE" w:rsidRDefault="007275E2">
      <w:pPr>
        <w:numPr>
          <w:ilvl w:val="1"/>
          <w:numId w:val="1"/>
        </w:numPr>
        <w:spacing w:after="0" w:line="276" w:lineRule="auto"/>
        <w:rPr>
          <w:rFonts w:ascii="Times New Roman" w:eastAsia="Times New Roman" w:hAnsi="Times New Roman" w:cs="Times New Roman"/>
        </w:rPr>
      </w:pPr>
      <w:r>
        <w:rPr>
          <w:rFonts w:ascii="Times New Roman" w:eastAsia="Times New Roman" w:hAnsi="Times New Roman" w:cs="Times New Roman"/>
        </w:rPr>
        <w:t>Potable water, provisions, and vital medical resources for West Bank and Gaza Palestinians,</w:t>
      </w:r>
    </w:p>
    <w:p w14:paraId="473BDBA7" w14:textId="77777777" w:rsidR="005E2DCE" w:rsidRDefault="007275E2">
      <w:pPr>
        <w:numPr>
          <w:ilvl w:val="1"/>
          <w:numId w:val="1"/>
        </w:numPr>
        <w:spacing w:after="0" w:line="276" w:lineRule="auto"/>
        <w:rPr>
          <w:rFonts w:ascii="Times New Roman" w:eastAsia="Times New Roman" w:hAnsi="Times New Roman" w:cs="Times New Roman"/>
        </w:rPr>
      </w:pPr>
      <w:r>
        <w:rPr>
          <w:rFonts w:ascii="Times New Roman" w:eastAsia="Times New Roman" w:hAnsi="Times New Roman" w:cs="Times New Roman"/>
        </w:rPr>
        <w:t>The establishment of centres for the fair distribution of aforementioned supplies in Palestinian settlements, and</w:t>
      </w:r>
    </w:p>
    <w:p w14:paraId="5E667799" w14:textId="77777777" w:rsidR="005E2DCE" w:rsidRDefault="007275E2">
      <w:pPr>
        <w:numPr>
          <w:ilvl w:val="1"/>
          <w:numId w:val="1"/>
        </w:numPr>
        <w:spacing w:after="0" w:line="276" w:lineRule="auto"/>
        <w:rPr>
          <w:rFonts w:ascii="Times New Roman" w:eastAsia="Times New Roman" w:hAnsi="Times New Roman" w:cs="Times New Roman"/>
        </w:rPr>
      </w:pPr>
      <w:r>
        <w:rPr>
          <w:rFonts w:ascii="Times New Roman" w:eastAsia="Times New Roman" w:hAnsi="Times New Roman" w:cs="Times New Roman"/>
        </w:rPr>
        <w:t>The payment of coordinators and workers overseeing these operations to improve conditions for Palestinians;</w:t>
      </w:r>
    </w:p>
    <w:p w14:paraId="1C0711EF" w14:textId="77777777" w:rsidR="005E2DCE" w:rsidRDefault="005E2DCE">
      <w:pPr>
        <w:spacing w:after="0" w:line="276" w:lineRule="auto"/>
        <w:rPr>
          <w:rFonts w:ascii="Times New Roman" w:eastAsia="Times New Roman" w:hAnsi="Times New Roman" w:cs="Times New Roman"/>
        </w:rPr>
      </w:pPr>
    </w:p>
    <w:p w14:paraId="5647C022" w14:textId="70E20C45" w:rsidR="005E2DCE" w:rsidRDefault="00787CF8">
      <w:pPr>
        <w:numPr>
          <w:ilvl w:val="0"/>
          <w:numId w:val="1"/>
        </w:numPr>
        <w:spacing w:after="0" w:line="276" w:lineRule="auto"/>
        <w:rPr>
          <w:rFonts w:ascii="Times New Roman" w:eastAsia="Times New Roman" w:hAnsi="Times New Roman" w:cs="Times New Roman"/>
          <w:i/>
        </w:rPr>
      </w:pPr>
      <w:r>
        <w:rPr>
          <w:rFonts w:ascii="Times New Roman" w:eastAsia="Times New Roman" w:hAnsi="Times New Roman" w:cs="Times New Roman"/>
          <w:i/>
        </w:rPr>
        <w:t>Respectfully r</w:t>
      </w:r>
      <w:r w:rsidR="007275E2">
        <w:rPr>
          <w:rFonts w:ascii="Times New Roman" w:eastAsia="Times New Roman" w:hAnsi="Times New Roman" w:cs="Times New Roman"/>
          <w:i/>
        </w:rPr>
        <w:t>equests</w:t>
      </w:r>
      <w:r w:rsidR="007275E2">
        <w:rPr>
          <w:rFonts w:ascii="Times New Roman" w:eastAsia="Times New Roman" w:hAnsi="Times New Roman" w:cs="Times New Roman"/>
        </w:rPr>
        <w:t xml:space="preserve"> that the Security Council reconsider its decision to deny Palestine U.N. membership in view of </w:t>
      </w:r>
      <w:r>
        <w:rPr>
          <w:rFonts w:ascii="Times New Roman" w:eastAsia="Times New Roman" w:hAnsi="Times New Roman" w:cs="Times New Roman"/>
        </w:rPr>
        <w:t xml:space="preserve">(i) </w:t>
      </w:r>
      <w:r w:rsidR="007275E2">
        <w:rPr>
          <w:rFonts w:ascii="Times New Roman" w:eastAsia="Times New Roman" w:hAnsi="Times New Roman" w:cs="Times New Roman"/>
        </w:rPr>
        <w:t>the positive report of the Committee</w:t>
      </w:r>
      <w:r>
        <w:rPr>
          <w:rFonts w:ascii="Times New Roman" w:eastAsia="Times New Roman" w:hAnsi="Times New Roman" w:cs="Times New Roman"/>
        </w:rPr>
        <w:t>,</w:t>
      </w:r>
      <w:r w:rsidR="007275E2">
        <w:rPr>
          <w:rFonts w:ascii="Times New Roman" w:eastAsia="Times New Roman" w:hAnsi="Times New Roman" w:cs="Times New Roman"/>
        </w:rPr>
        <w:t xml:space="preserve"> </w:t>
      </w:r>
      <w:r>
        <w:rPr>
          <w:rFonts w:ascii="Times New Roman" w:eastAsia="Times New Roman" w:hAnsi="Times New Roman" w:cs="Times New Roman"/>
        </w:rPr>
        <w:t xml:space="preserve">(ii) </w:t>
      </w:r>
      <w:r w:rsidR="007275E2">
        <w:rPr>
          <w:rFonts w:ascii="Times New Roman" w:eastAsia="Times New Roman" w:hAnsi="Times New Roman" w:cs="Times New Roman"/>
        </w:rPr>
        <w:t>the benefits of U.N. membership on the Palestinian people as well as on the peace process in the region</w:t>
      </w:r>
      <w:r>
        <w:rPr>
          <w:rFonts w:ascii="Times New Roman" w:eastAsia="Times New Roman" w:hAnsi="Times New Roman" w:cs="Times New Roman"/>
        </w:rPr>
        <w:t>, and (iii) the positive recommendations set forth in this Resolution, and subsequently approve Palestine’s renewed application for U.N. membership and return the matter for a final vote before this General Assembly</w:t>
      </w:r>
      <w:r w:rsidR="007275E2">
        <w:rPr>
          <w:rFonts w:ascii="Times New Roman" w:eastAsia="Times New Roman" w:hAnsi="Times New Roman" w:cs="Times New Roman"/>
        </w:rPr>
        <w:t xml:space="preserve">; </w:t>
      </w:r>
    </w:p>
    <w:p w14:paraId="19A2CF0A" w14:textId="77777777" w:rsidR="005E2DCE" w:rsidRDefault="005E2DCE">
      <w:pPr>
        <w:spacing w:after="0" w:line="276" w:lineRule="auto"/>
        <w:rPr>
          <w:rFonts w:ascii="Times New Roman" w:eastAsia="Times New Roman" w:hAnsi="Times New Roman" w:cs="Times New Roman"/>
        </w:rPr>
      </w:pPr>
    </w:p>
    <w:p w14:paraId="15ED81AF" w14:textId="77777777" w:rsidR="005E2DCE" w:rsidRDefault="007275E2">
      <w:pPr>
        <w:numPr>
          <w:ilvl w:val="0"/>
          <w:numId w:val="1"/>
        </w:numPr>
        <w:spacing w:after="0" w:line="276" w:lineRule="auto"/>
        <w:rPr>
          <w:rFonts w:ascii="Times New Roman" w:eastAsia="Times New Roman" w:hAnsi="Times New Roman" w:cs="Times New Roman"/>
          <w:i/>
        </w:rPr>
      </w:pPr>
      <w:r>
        <w:rPr>
          <w:rFonts w:ascii="Times New Roman" w:eastAsia="Times New Roman" w:hAnsi="Times New Roman" w:cs="Times New Roman"/>
          <w:i/>
        </w:rPr>
        <w:t xml:space="preserve">Resolves </w:t>
      </w:r>
      <w:r>
        <w:rPr>
          <w:rFonts w:ascii="Times New Roman" w:eastAsia="Times New Roman" w:hAnsi="Times New Roman" w:cs="Times New Roman"/>
        </w:rPr>
        <w:t>to remain actively engaged in the matter.</w:t>
      </w:r>
    </w:p>
    <w:sectPr w:rsidR="005E2DCE">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4F5679" w14:textId="77777777" w:rsidR="00D14730" w:rsidRDefault="00D14730">
      <w:pPr>
        <w:spacing w:after="0" w:line="240" w:lineRule="auto"/>
      </w:pPr>
      <w:r>
        <w:separator/>
      </w:r>
    </w:p>
  </w:endnote>
  <w:endnote w:type="continuationSeparator" w:id="0">
    <w:p w14:paraId="20B34A8F" w14:textId="77777777" w:rsidR="00D14730" w:rsidRDefault="00D147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E98C2E" w14:textId="77777777" w:rsidR="00D14730" w:rsidRDefault="00D14730">
      <w:pPr>
        <w:spacing w:after="0" w:line="240" w:lineRule="auto"/>
      </w:pPr>
      <w:r>
        <w:separator/>
      </w:r>
    </w:p>
  </w:footnote>
  <w:footnote w:type="continuationSeparator" w:id="0">
    <w:p w14:paraId="2379C4B6" w14:textId="77777777" w:rsidR="00D14730" w:rsidRDefault="00D14730">
      <w:pPr>
        <w:spacing w:after="0" w:line="240" w:lineRule="auto"/>
      </w:pPr>
      <w:r>
        <w:continuationSeparator/>
      </w:r>
    </w:p>
  </w:footnote>
  <w:footnote w:id="1">
    <w:p w14:paraId="5B323F02" w14:textId="77777777" w:rsidR="005E2DCE" w:rsidRDefault="007275E2">
      <w:pPr>
        <w:spacing w:after="0" w:line="240" w:lineRule="auto"/>
        <w:rPr>
          <w:sz w:val="20"/>
          <w:szCs w:val="20"/>
        </w:rPr>
      </w:pPr>
      <w:r>
        <w:rPr>
          <w:vertAlign w:val="superscript"/>
        </w:rPr>
        <w:footnoteRef/>
      </w:r>
      <w:r>
        <w:rPr>
          <w:sz w:val="20"/>
          <w:szCs w:val="20"/>
        </w:rPr>
        <w:t xml:space="preserve"> See United Nations Charter:</w:t>
      </w:r>
      <w:r>
        <w:rPr>
          <w:b/>
          <w:sz w:val="20"/>
          <w:szCs w:val="20"/>
        </w:rPr>
        <w:t xml:space="preserve"> </w:t>
      </w:r>
      <w:hyperlink r:id="rId1">
        <w:r>
          <w:rPr>
            <w:color w:val="1155CC"/>
            <w:sz w:val="20"/>
            <w:szCs w:val="20"/>
            <w:u w:val="single"/>
          </w:rPr>
          <w:t>http://www.un.org/en/sections/un-charter/un-charter-full-text/</w:t>
        </w:r>
      </w:hyperlink>
    </w:p>
  </w:footnote>
  <w:footnote w:id="2">
    <w:p w14:paraId="31A804FF" w14:textId="77777777" w:rsidR="005E2DCE" w:rsidRDefault="007275E2">
      <w:pPr>
        <w:spacing w:after="0" w:line="240" w:lineRule="auto"/>
        <w:rPr>
          <w:sz w:val="20"/>
          <w:szCs w:val="20"/>
        </w:rPr>
      </w:pPr>
      <w:r>
        <w:rPr>
          <w:vertAlign w:val="superscript"/>
        </w:rPr>
        <w:footnoteRef/>
      </w:r>
      <w:r>
        <w:rPr>
          <w:sz w:val="20"/>
          <w:szCs w:val="20"/>
        </w:rPr>
        <w:t xml:space="preserve"> See rules 134-138 of the Rules of the General Assembly: </w:t>
      </w:r>
      <w:hyperlink r:id="rId2">
        <w:r>
          <w:rPr>
            <w:color w:val="1155CC"/>
            <w:sz w:val="20"/>
            <w:szCs w:val="20"/>
            <w:u w:val="single"/>
          </w:rPr>
          <w:t>http://www.un.org/depts/DGACM/Uploaded%20docs/rules%20of%20procedure%20of%20ga.pdf</w:t>
        </w:r>
      </w:hyperlink>
      <w:r>
        <w:rPr>
          <w:sz w:val="20"/>
          <w:szCs w:val="20"/>
        </w:rPr>
        <w:t xml:space="preserve"> </w:t>
      </w:r>
    </w:p>
    <w:p w14:paraId="15D4793D" w14:textId="77777777" w:rsidR="005E2DCE" w:rsidRDefault="005E2DCE">
      <w:pPr>
        <w:spacing w:after="0" w:line="240" w:lineRule="auto"/>
        <w:rPr>
          <w:sz w:val="20"/>
          <w:szCs w:val="20"/>
        </w:rPr>
      </w:pPr>
    </w:p>
  </w:footnote>
  <w:footnote w:id="3">
    <w:p w14:paraId="133BE165" w14:textId="77777777" w:rsidR="005E2DCE" w:rsidRDefault="007275E2">
      <w:pPr>
        <w:spacing w:after="0" w:line="240" w:lineRule="auto"/>
        <w:rPr>
          <w:sz w:val="20"/>
          <w:szCs w:val="20"/>
        </w:rPr>
      </w:pPr>
      <w:r>
        <w:rPr>
          <w:vertAlign w:val="superscript"/>
        </w:rPr>
        <w:footnoteRef/>
      </w:r>
      <w:r>
        <w:rPr>
          <w:sz w:val="20"/>
          <w:szCs w:val="20"/>
        </w:rPr>
        <w:t xml:space="preserve"> See Security Council Letter S/2011/592 on the Palestinian request for United Nations Membership in 2011: </w:t>
      </w:r>
      <w:hyperlink r:id="rId3">
        <w:r>
          <w:rPr>
            <w:color w:val="1155CC"/>
            <w:sz w:val="20"/>
            <w:szCs w:val="20"/>
            <w:u w:val="single"/>
          </w:rPr>
          <w:t>http://www.securitycouncilreport.org/atf/cf/%7B65BFCF9B-6D27-4E9C-8CD3-CF6E4FF96FF9%7D/IP%20S2011%20592.pdf</w:t>
        </w:r>
      </w:hyperlink>
      <w:r>
        <w:rPr>
          <w:sz w:val="20"/>
          <w:szCs w:val="20"/>
        </w:rPr>
        <w:t xml:space="preserve"> </w:t>
      </w:r>
    </w:p>
  </w:footnote>
  <w:footnote w:id="4">
    <w:p w14:paraId="7B42970F" w14:textId="77777777" w:rsidR="005E2DCE" w:rsidRDefault="007275E2">
      <w:pPr>
        <w:spacing w:after="0" w:line="240" w:lineRule="auto"/>
        <w:rPr>
          <w:sz w:val="20"/>
          <w:szCs w:val="20"/>
        </w:rPr>
      </w:pPr>
      <w:r>
        <w:rPr>
          <w:vertAlign w:val="superscript"/>
        </w:rPr>
        <w:footnoteRef/>
      </w:r>
      <w:r>
        <w:rPr>
          <w:sz w:val="20"/>
          <w:szCs w:val="20"/>
        </w:rPr>
        <w:t xml:space="preserve"> See Report of the Committee on the Admission of New Members concerning the application of Palestine for admission to membership in the United Nations : </w:t>
      </w:r>
      <w:hyperlink r:id="rId4">
        <w:r>
          <w:rPr>
            <w:color w:val="1155CC"/>
            <w:sz w:val="20"/>
            <w:szCs w:val="20"/>
            <w:u w:val="single"/>
          </w:rPr>
          <w:t>http://www.securitycouncilreport.org/atf/cf/%7B65BFCF9B-6D27-4E9C-8CD3-CF6E4FF96FF9%7D/IP%20s%202011%20705.pdf</w:t>
        </w:r>
      </w:hyperlink>
      <w:r>
        <w:rPr>
          <w:sz w:val="20"/>
          <w:szCs w:val="20"/>
        </w:rPr>
        <w:t xml:space="preserve"> </w:t>
      </w:r>
    </w:p>
  </w:footnote>
  <w:footnote w:id="5">
    <w:p w14:paraId="44AA2391" w14:textId="77777777" w:rsidR="005E2DCE" w:rsidRDefault="007275E2">
      <w:pPr>
        <w:spacing w:after="0" w:line="240" w:lineRule="auto"/>
        <w:rPr>
          <w:sz w:val="20"/>
          <w:szCs w:val="20"/>
        </w:rPr>
      </w:pPr>
      <w:r>
        <w:rPr>
          <w:vertAlign w:val="superscript"/>
        </w:rPr>
        <w:footnoteRef/>
      </w:r>
      <w:hyperlink r:id="rId5">
        <w:r>
          <w:rPr>
            <w:color w:val="1155CC"/>
            <w:sz w:val="20"/>
            <w:szCs w:val="20"/>
            <w:u w:val="single"/>
          </w:rPr>
          <w:t>https://www.washingtonpost.com/business/what-is-hamas-and-why-is-it-calling-for-an-uprising-quicktake/2017/12/11/16965b4a-dc60-11e7-a241-0848315642d0_story.html?utm_term=.b395758835e6</w:t>
        </w:r>
      </w:hyperlink>
    </w:p>
  </w:footnote>
  <w:footnote w:id="6">
    <w:p w14:paraId="4E235B19" w14:textId="77777777" w:rsidR="005E2DCE" w:rsidRDefault="007275E2">
      <w:pPr>
        <w:spacing w:after="0" w:line="240" w:lineRule="auto"/>
        <w:rPr>
          <w:sz w:val="20"/>
          <w:szCs w:val="20"/>
        </w:rPr>
      </w:pPr>
      <w:r>
        <w:rPr>
          <w:vertAlign w:val="superscript"/>
        </w:rPr>
        <w:footnoteRef/>
      </w:r>
      <w:r>
        <w:rPr>
          <w:sz w:val="20"/>
          <w:szCs w:val="20"/>
        </w:rPr>
        <w:t xml:space="preserve"> The agreement reached by the Palestinian Authority and Hamas in October 2017 required Hamas to cede responsibilities of administering the Gaza Strip to the Palestinian Authority no later than 1 December 2017, empowering the Authority to maintain control over Gaza in the same way that it does over the West Bank. </w:t>
      </w:r>
    </w:p>
  </w:footnote>
  <w:footnote w:id="7">
    <w:p w14:paraId="3D6ABDBA" w14:textId="77777777" w:rsidR="005E2DCE" w:rsidRDefault="007275E2">
      <w:pPr>
        <w:spacing w:after="0" w:line="240" w:lineRule="auto"/>
        <w:rPr>
          <w:sz w:val="20"/>
          <w:szCs w:val="20"/>
        </w:rPr>
      </w:pPr>
      <w:r>
        <w:rPr>
          <w:vertAlign w:val="superscript"/>
        </w:rPr>
        <w:footnoteRef/>
      </w:r>
      <w:r>
        <w:rPr>
          <w:sz w:val="20"/>
          <w:szCs w:val="20"/>
        </w:rPr>
        <w:t xml:space="preserve"> See </w:t>
      </w:r>
      <w:hyperlink r:id="rId6">
        <w:r>
          <w:rPr>
            <w:color w:val="1155CC"/>
            <w:sz w:val="20"/>
            <w:szCs w:val="20"/>
            <w:u w:val="single"/>
          </w:rPr>
          <w:t>https://undocs.org/A/ES-10/L.22</w:t>
        </w:r>
      </w:hyperlink>
      <w:r>
        <w:rPr>
          <w:sz w:val="20"/>
          <w:szCs w:val="20"/>
        </w:rPr>
        <w:t xml:space="preserve"> for the resolution in its approved form; see </w:t>
      </w:r>
      <w:hyperlink r:id="rId7">
        <w:r>
          <w:rPr>
            <w:color w:val="1155CC"/>
            <w:sz w:val="20"/>
            <w:szCs w:val="20"/>
            <w:u w:val="single"/>
          </w:rPr>
          <w:t>https://www.un.org/press/en/2017/ga11995.doc.htm</w:t>
        </w:r>
      </w:hyperlink>
      <w:r>
        <w:rPr>
          <w:sz w:val="20"/>
          <w:szCs w:val="20"/>
        </w:rPr>
        <w:t xml:space="preserve"> to view voting record for Resolution A/ES-10/L.22.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F30ED5"/>
    <w:multiLevelType w:val="multilevel"/>
    <w:tmpl w:val="6E7ACA6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6D9E1C9E"/>
    <w:multiLevelType w:val="multilevel"/>
    <w:tmpl w:val="22D6DDF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708318A1"/>
    <w:multiLevelType w:val="multilevel"/>
    <w:tmpl w:val="F7B0C8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DCE"/>
    <w:rsid w:val="0009590C"/>
    <w:rsid w:val="00252F32"/>
    <w:rsid w:val="00452A13"/>
    <w:rsid w:val="005E2DCE"/>
    <w:rsid w:val="007275E2"/>
    <w:rsid w:val="00787CF8"/>
    <w:rsid w:val="00826F48"/>
    <w:rsid w:val="00A04ED0"/>
    <w:rsid w:val="00B01091"/>
    <w:rsid w:val="00B90E15"/>
    <w:rsid w:val="00B97676"/>
    <w:rsid w:val="00D14730"/>
    <w:rsid w:val="00E67CA5"/>
    <w:rsid w:val="00EE7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60E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color w:val="000000"/>
        <w:sz w:val="22"/>
        <w:szCs w:val="22"/>
        <w:lang w:val="en-US" w:eastAsia="en-US" w:bidi="ar-SA"/>
      </w:rPr>
    </w:rPrDefault>
    <w:pPrDefault>
      <w:pPr>
        <w:pBdr>
          <w:top w:val="nil"/>
          <w:left w:val="nil"/>
          <w:bottom w:val="nil"/>
          <w:right w:val="nil"/>
          <w:between w:val="nil"/>
        </w:pBd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40" w:after="0"/>
      <w:outlineLvl w:val="0"/>
    </w:pPr>
    <w:rPr>
      <w:rFonts w:ascii="Calibri" w:eastAsia="Calibri" w:hAnsi="Calibri" w:cs="Calibri"/>
      <w:color w:val="366091"/>
      <w:sz w:val="32"/>
      <w:szCs w:val="32"/>
    </w:rPr>
  </w:style>
  <w:style w:type="paragraph" w:styleId="Heading2">
    <w:name w:val="heading 2"/>
    <w:basedOn w:val="Normal"/>
    <w:next w:val="Normal"/>
    <w:pPr>
      <w:keepNext/>
      <w:keepLines/>
      <w:spacing w:before="40" w:after="0"/>
      <w:outlineLvl w:val="1"/>
    </w:pPr>
    <w:rPr>
      <w:rFonts w:ascii="Calibri" w:eastAsia="Calibri" w:hAnsi="Calibri" w:cs="Calibri"/>
      <w:color w:val="366091"/>
      <w:sz w:val="26"/>
      <w:szCs w:val="2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452A1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52A13"/>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securitycouncilreport.org/atf/cf/%7B65BFCF9B-6D27-4E9C-8CD3-CF6E4FF96FF9%7D/IP%20S2011%20592.pdf" TargetMode="External"/><Relationship Id="rId7" Type="http://schemas.openxmlformats.org/officeDocument/2006/relationships/hyperlink" Target="https://www.un.org/press/en/2017/ga11995.doc.htm" TargetMode="External"/><Relationship Id="rId2" Type="http://schemas.openxmlformats.org/officeDocument/2006/relationships/hyperlink" Target="http://www.un.org/depts/DGACM/Uploaded%20docs/rules%20of%20procedure%20of%20ga.pdf" TargetMode="External"/><Relationship Id="rId1" Type="http://schemas.openxmlformats.org/officeDocument/2006/relationships/hyperlink" Target="http://www.un.org/en/sections/un-charter/un-charter-full-text/" TargetMode="External"/><Relationship Id="rId6" Type="http://schemas.openxmlformats.org/officeDocument/2006/relationships/hyperlink" Target="https://undocs.org/A/ES-10/L.22" TargetMode="External"/><Relationship Id="rId5" Type="http://schemas.openxmlformats.org/officeDocument/2006/relationships/hyperlink" Target="https://www.washingtonpost.com/business/what-is-hamas-and-why-is-it-calling-for-an-uprising-quicktake/2017/12/11/16965b4a-dc60-11e7-a241-0848315642d0_story.html?utm_term=.b395758835e6" TargetMode="External"/><Relationship Id="rId4" Type="http://schemas.openxmlformats.org/officeDocument/2006/relationships/hyperlink" Target="http://www.securitycouncilreport.org/atf/cf/%7B65BFCF9B-6D27-4E9C-8CD3-CF6E4FF96FF9%7D/IP%20s%202011%2070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927</Words>
  <Characters>5290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dc:creator>
  <cp:lastModifiedBy>Kevin</cp:lastModifiedBy>
  <cp:revision>6</cp:revision>
  <dcterms:created xsi:type="dcterms:W3CDTF">2018-01-21T22:23:00Z</dcterms:created>
  <dcterms:modified xsi:type="dcterms:W3CDTF">2018-01-21T23:14:00Z</dcterms:modified>
</cp:coreProperties>
</file>