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CCA9D2" w14:textId="77777777" w:rsidR="007F0394" w:rsidRPr="00E8608C" w:rsidRDefault="007F0394" w:rsidP="007F0394">
      <w:pPr>
        <w:ind w:left="-720" w:right="-720"/>
        <w:jc w:val="center"/>
        <w:rPr>
          <w:b/>
          <w:sz w:val="26"/>
          <w:szCs w:val="26"/>
          <w:lang w:val="en-GB"/>
        </w:rPr>
      </w:pPr>
      <w:r>
        <w:rPr>
          <w:b/>
          <w:sz w:val="26"/>
          <w:szCs w:val="26"/>
          <w:lang w:val="en-GB"/>
        </w:rPr>
        <w:t>Rotary MUN 2015</w:t>
      </w:r>
    </w:p>
    <w:p w14:paraId="569BB03C" w14:textId="77777777" w:rsidR="007F0394" w:rsidRPr="00E8608C" w:rsidRDefault="007F0394" w:rsidP="007F0394">
      <w:pPr>
        <w:ind w:left="-720" w:right="-720"/>
        <w:rPr>
          <w:b/>
          <w:sz w:val="26"/>
          <w:szCs w:val="26"/>
          <w:lang w:val="en-GB"/>
        </w:rPr>
      </w:pPr>
    </w:p>
    <w:p w14:paraId="2DC4CA8F" w14:textId="77777777" w:rsidR="007F0394" w:rsidRPr="00E8608C" w:rsidRDefault="007F0394" w:rsidP="007F0394">
      <w:pPr>
        <w:ind w:left="-720" w:right="-720"/>
        <w:rPr>
          <w:b/>
          <w:sz w:val="26"/>
          <w:szCs w:val="26"/>
          <w:lang w:val="en-GB"/>
        </w:rPr>
      </w:pPr>
      <w:r w:rsidRPr="00E8608C">
        <w:rPr>
          <w:b/>
          <w:sz w:val="26"/>
          <w:szCs w:val="26"/>
          <w:lang w:val="en-GB"/>
        </w:rPr>
        <w:t>United Nations</w:t>
      </w:r>
    </w:p>
    <w:p w14:paraId="719BA4D7" w14:textId="77777777" w:rsidR="007F0394" w:rsidRDefault="00363F75" w:rsidP="007F0394">
      <w:pPr>
        <w:ind w:left="-720" w:right="-720"/>
        <w:rPr>
          <w:b/>
          <w:szCs w:val="22"/>
          <w:lang w:val="en-GB"/>
        </w:rPr>
      </w:pPr>
      <w:r>
        <w:rPr>
          <w:b/>
          <w:szCs w:val="22"/>
          <w:lang w:val="en-GB"/>
        </w:rPr>
        <w:pict w14:anchorId="33DF82FB">
          <v:rect id="_x0000_i1025" style="width:0;height:1.5pt" o:hralign="center" o:hrstd="t" o:hr="t" fillcolor="#9d9da1" stroked="f"/>
        </w:pict>
      </w:r>
    </w:p>
    <w:p w14:paraId="7B0FC496" w14:textId="45548439" w:rsidR="007F0394" w:rsidRPr="00C10E35" w:rsidRDefault="007F0394" w:rsidP="000A3FC6">
      <w:pPr>
        <w:ind w:left="-720" w:right="-720"/>
        <w:rPr>
          <w:sz w:val="20"/>
          <w:lang w:val="en-GB"/>
        </w:rPr>
      </w:pPr>
      <w:r>
        <w:rPr>
          <w:rFonts w:ascii="Arial" w:hAnsi="Arial" w:cs="Arial"/>
          <w:noProof/>
          <w:snapToGrid/>
          <w:sz w:val="23"/>
          <w:szCs w:val="23"/>
        </w:rPr>
        <w:drawing>
          <wp:inline distT="0" distB="0" distL="0" distR="0" wp14:anchorId="20B0B36C" wp14:editId="35E000B7">
            <wp:extent cx="514350" cy="544286"/>
            <wp:effectExtent l="19050" t="0" r="0" b="0"/>
            <wp:docPr id="3" name="Picture 3" descr="https://lh3.googleusercontent.com/-m9XPN41Uu24/AAAAAAAAAAI/AAAAAAAAIGM/QoxKXoO0KCo/s250-c-k/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m9XPN41Uu24/AAAAAAAAAAI/AAAAAAAAIGM/QoxKXoO0KCo/s250-c-k/photo.jpg"/>
                    <pic:cNvPicPr>
                      <a:picLocks noChangeAspect="1" noChangeArrowheads="1"/>
                    </pic:cNvPicPr>
                  </pic:nvPicPr>
                  <pic:blipFill>
                    <a:blip r:embed="rId8" cstate="print"/>
                    <a:srcRect/>
                    <a:stretch>
                      <a:fillRect/>
                    </a:stretch>
                  </pic:blipFill>
                  <pic:spPr bwMode="auto">
                    <a:xfrm>
                      <a:off x="0" y="0"/>
                      <a:ext cx="512200" cy="542011"/>
                    </a:xfrm>
                    <a:prstGeom prst="rect">
                      <a:avLst/>
                    </a:prstGeom>
                    <a:noFill/>
                    <a:ln w="9525">
                      <a:noFill/>
                      <a:miter lim="800000"/>
                      <a:headEnd/>
                      <a:tailEnd/>
                    </a:ln>
                  </pic:spPr>
                </pic:pic>
              </a:graphicData>
            </a:graphic>
          </wp:inline>
        </w:drawing>
      </w:r>
      <w:r w:rsidRPr="003528E3">
        <w:rPr>
          <w:b/>
          <w:sz w:val="32"/>
          <w:szCs w:val="32"/>
          <w:lang w:val="en-GB"/>
        </w:rPr>
        <w:t>General Assembly</w:t>
      </w:r>
      <w:r>
        <w:rPr>
          <w:b/>
          <w:sz w:val="32"/>
          <w:szCs w:val="32"/>
          <w:lang w:val="en-GB"/>
        </w:rPr>
        <w:tab/>
      </w:r>
      <w:r>
        <w:rPr>
          <w:b/>
          <w:sz w:val="32"/>
          <w:szCs w:val="32"/>
          <w:lang w:val="en-GB"/>
        </w:rPr>
        <w:tab/>
      </w:r>
      <w:r>
        <w:rPr>
          <w:b/>
          <w:sz w:val="32"/>
          <w:szCs w:val="32"/>
          <w:lang w:val="en-GB"/>
        </w:rPr>
        <w:tab/>
      </w:r>
      <w:r>
        <w:rPr>
          <w:b/>
          <w:sz w:val="32"/>
          <w:szCs w:val="32"/>
          <w:lang w:val="en-GB"/>
        </w:rPr>
        <w:tab/>
      </w:r>
      <w:r>
        <w:rPr>
          <w:b/>
          <w:sz w:val="32"/>
          <w:szCs w:val="32"/>
          <w:lang w:val="en-GB"/>
        </w:rPr>
        <w:tab/>
      </w:r>
      <w:r>
        <w:rPr>
          <w:b/>
          <w:sz w:val="32"/>
          <w:szCs w:val="32"/>
          <w:lang w:val="en-GB"/>
        </w:rPr>
        <w:tab/>
      </w:r>
      <w:r>
        <w:rPr>
          <w:b/>
          <w:sz w:val="32"/>
          <w:szCs w:val="32"/>
          <w:lang w:val="en-GB"/>
        </w:rPr>
        <w:tab/>
      </w:r>
      <w:r>
        <w:rPr>
          <w:b/>
          <w:sz w:val="32"/>
          <w:szCs w:val="32"/>
          <w:lang w:val="en-GB"/>
        </w:rPr>
        <w:tab/>
      </w:r>
      <w:r w:rsidR="00E55E86">
        <w:rPr>
          <w:sz w:val="20"/>
          <w:lang w:val="en-GB"/>
        </w:rPr>
        <w:t>11</w:t>
      </w:r>
      <w:r>
        <w:rPr>
          <w:sz w:val="20"/>
          <w:lang w:val="en-GB"/>
        </w:rPr>
        <w:t xml:space="preserve"> April 2015</w:t>
      </w:r>
    </w:p>
    <w:p w14:paraId="26F5B1B2" w14:textId="77777777" w:rsidR="007F0394" w:rsidRDefault="00363F75" w:rsidP="007F0394">
      <w:pPr>
        <w:spacing w:after="240"/>
        <w:ind w:left="-720" w:right="-720"/>
        <w:jc w:val="center"/>
        <w:rPr>
          <w:b/>
          <w:szCs w:val="22"/>
          <w:lang w:val="en-GB"/>
        </w:rPr>
      </w:pPr>
      <w:r>
        <w:rPr>
          <w:b/>
          <w:szCs w:val="22"/>
          <w:lang w:val="en-GB"/>
        </w:rPr>
        <w:pict w14:anchorId="6D883515">
          <v:rect id="_x0000_i1026" style="width:0;height:1.5pt" o:hralign="center" o:hrstd="t" o:hr="t" fillcolor="#9d9da1" stroked="f"/>
        </w:pict>
      </w:r>
    </w:p>
    <w:p w14:paraId="3AAEAF3D" w14:textId="77777777" w:rsidR="007F0394" w:rsidRDefault="00E55E86" w:rsidP="007F0394">
      <w:pPr>
        <w:ind w:left="-720" w:right="-720"/>
        <w:rPr>
          <w:b/>
          <w:sz w:val="20"/>
          <w:lang w:val="en-GB"/>
        </w:rPr>
      </w:pPr>
      <w:r>
        <w:rPr>
          <w:b/>
          <w:sz w:val="20"/>
          <w:lang w:val="en-GB"/>
        </w:rPr>
        <w:t>Sixty-ninth</w:t>
      </w:r>
      <w:r w:rsidR="007F0394" w:rsidRPr="00E1039D">
        <w:rPr>
          <w:b/>
          <w:sz w:val="20"/>
          <w:lang w:val="en-GB"/>
        </w:rPr>
        <w:t xml:space="preserve"> Session</w:t>
      </w:r>
    </w:p>
    <w:p w14:paraId="5A858C21" w14:textId="7F0B59A0" w:rsidR="007F0394" w:rsidRDefault="00E55E86" w:rsidP="007F0394">
      <w:pPr>
        <w:spacing w:after="240"/>
        <w:ind w:left="-720" w:right="-720"/>
        <w:rPr>
          <w:b/>
          <w:sz w:val="20"/>
          <w:lang w:val="en-GB"/>
        </w:rPr>
      </w:pPr>
      <w:r>
        <w:rPr>
          <w:b/>
          <w:sz w:val="20"/>
          <w:lang w:val="en-GB"/>
        </w:rPr>
        <w:t xml:space="preserve">Agenda item </w:t>
      </w:r>
      <w:r w:rsidR="00F736D1">
        <w:rPr>
          <w:b/>
          <w:sz w:val="20"/>
          <w:lang w:val="en-GB"/>
        </w:rPr>
        <w:t>32</w:t>
      </w:r>
    </w:p>
    <w:p w14:paraId="634E419D" w14:textId="6967998B" w:rsidR="00FE2512" w:rsidRDefault="00FE2512" w:rsidP="00FE2512">
      <w:pPr>
        <w:spacing w:after="240"/>
        <w:ind w:left="-720" w:right="-720"/>
        <w:jc w:val="center"/>
        <w:rPr>
          <w:b/>
          <w:sz w:val="26"/>
          <w:szCs w:val="26"/>
          <w:lang w:val="en-GB"/>
        </w:rPr>
      </w:pPr>
      <w:r>
        <w:rPr>
          <w:b/>
          <w:sz w:val="26"/>
          <w:szCs w:val="26"/>
          <w:lang w:val="en-GB"/>
        </w:rPr>
        <w:t>Resolution</w:t>
      </w:r>
      <w:r w:rsidRPr="00E8608C">
        <w:rPr>
          <w:b/>
          <w:sz w:val="26"/>
          <w:szCs w:val="26"/>
          <w:lang w:val="en-GB"/>
        </w:rPr>
        <w:t xml:space="preserve"> #</w:t>
      </w:r>
      <w:r>
        <w:rPr>
          <w:b/>
          <w:sz w:val="26"/>
          <w:szCs w:val="26"/>
          <w:lang w:val="en-GB"/>
        </w:rPr>
        <w:t>1</w:t>
      </w:r>
    </w:p>
    <w:p w14:paraId="1E3547F8" w14:textId="3179F210" w:rsidR="00FE2512" w:rsidRPr="00017875" w:rsidRDefault="00FE2512" w:rsidP="00FE2512">
      <w:pPr>
        <w:spacing w:after="240"/>
        <w:ind w:left="-720" w:right="-720"/>
        <w:jc w:val="center"/>
        <w:rPr>
          <w:b/>
          <w:sz w:val="26"/>
          <w:szCs w:val="26"/>
          <w:u w:val="single"/>
          <w:lang w:val="en-GB"/>
        </w:rPr>
      </w:pPr>
      <w:r>
        <w:rPr>
          <w:b/>
          <w:sz w:val="26"/>
          <w:szCs w:val="26"/>
          <w:u w:val="single"/>
          <w:lang w:val="en-GB"/>
        </w:rPr>
        <w:t xml:space="preserve">The Situation in </w:t>
      </w:r>
      <w:r w:rsidR="00F736D1">
        <w:rPr>
          <w:b/>
          <w:sz w:val="26"/>
          <w:szCs w:val="26"/>
          <w:u w:val="single"/>
          <w:lang w:val="en-GB"/>
        </w:rPr>
        <w:t xml:space="preserve">the </w:t>
      </w:r>
      <w:r>
        <w:rPr>
          <w:b/>
          <w:sz w:val="26"/>
          <w:szCs w:val="26"/>
          <w:u w:val="single"/>
          <w:lang w:val="en-GB"/>
        </w:rPr>
        <w:t>Ukraine</w:t>
      </w:r>
    </w:p>
    <w:p w14:paraId="19C91DF4" w14:textId="77777777" w:rsidR="00C456A0" w:rsidRPr="00E8608C" w:rsidRDefault="00C456A0" w:rsidP="00C456A0">
      <w:pPr>
        <w:spacing w:after="240" w:line="276" w:lineRule="auto"/>
        <w:ind w:left="-720" w:right="-720"/>
        <w:rPr>
          <w:i/>
          <w:sz w:val="22"/>
          <w:szCs w:val="22"/>
          <w:lang w:val="en-GB"/>
        </w:rPr>
      </w:pPr>
      <w:r w:rsidRPr="00E8608C">
        <w:rPr>
          <w:i/>
          <w:sz w:val="22"/>
          <w:szCs w:val="22"/>
          <w:lang w:val="en-GB"/>
        </w:rPr>
        <w:t>The General Assembly,</w:t>
      </w:r>
    </w:p>
    <w:p w14:paraId="4FED6923" w14:textId="1163B266" w:rsidR="00536A82" w:rsidRDefault="00C456A0" w:rsidP="00C456A0">
      <w:pPr>
        <w:spacing w:after="240" w:line="276" w:lineRule="auto"/>
        <w:ind w:left="-720" w:right="-720"/>
        <w:jc w:val="both"/>
        <w:rPr>
          <w:sz w:val="22"/>
          <w:szCs w:val="22"/>
          <w:lang w:val="en-GB"/>
        </w:rPr>
      </w:pPr>
      <w:r>
        <w:rPr>
          <w:i/>
          <w:sz w:val="22"/>
          <w:szCs w:val="22"/>
          <w:lang w:val="en-GB"/>
        </w:rPr>
        <w:t>Emphasizing</w:t>
      </w:r>
      <w:r>
        <w:rPr>
          <w:sz w:val="22"/>
          <w:szCs w:val="22"/>
          <w:lang w:val="en-GB"/>
        </w:rPr>
        <w:t xml:space="preserve"> </w:t>
      </w:r>
      <w:r w:rsidR="00EB5C34">
        <w:rPr>
          <w:sz w:val="22"/>
          <w:szCs w:val="22"/>
          <w:lang w:val="en-GB"/>
        </w:rPr>
        <w:t>the outstanding importance of the Charter of the United Nations in the promotion of the rule of law among nations,</w:t>
      </w:r>
    </w:p>
    <w:p w14:paraId="2131C93C" w14:textId="3C7202FD" w:rsidR="001C5B52" w:rsidRDefault="001C5B52" w:rsidP="00C456A0">
      <w:pPr>
        <w:spacing w:after="240" w:line="276" w:lineRule="auto"/>
        <w:ind w:left="-720" w:right="-720"/>
        <w:jc w:val="both"/>
        <w:rPr>
          <w:sz w:val="22"/>
          <w:szCs w:val="22"/>
          <w:lang w:val="en-GB"/>
        </w:rPr>
      </w:pPr>
      <w:r>
        <w:rPr>
          <w:i/>
          <w:sz w:val="22"/>
          <w:szCs w:val="22"/>
          <w:lang w:val="en-GB"/>
        </w:rPr>
        <w:t xml:space="preserve">Recalling </w:t>
      </w:r>
      <w:r>
        <w:rPr>
          <w:sz w:val="22"/>
          <w:szCs w:val="22"/>
          <w:lang w:val="en-GB"/>
        </w:rPr>
        <w:t>the responsibility of all States under Article 2 of the Charter to refrain in their international relations from the threat or use of force against the territorial integrity or political independence of any State, and to settle their international disputes by peaceful means,</w:t>
      </w:r>
    </w:p>
    <w:p w14:paraId="673A6487" w14:textId="2C5C8769" w:rsidR="000203F4" w:rsidRDefault="00D751AF" w:rsidP="00C456A0">
      <w:pPr>
        <w:spacing w:after="240" w:line="276" w:lineRule="auto"/>
        <w:ind w:left="-720" w:right="-720"/>
        <w:jc w:val="both"/>
        <w:rPr>
          <w:sz w:val="22"/>
          <w:szCs w:val="22"/>
          <w:lang w:val="en-GB"/>
        </w:rPr>
      </w:pPr>
      <w:r>
        <w:rPr>
          <w:i/>
          <w:sz w:val="22"/>
          <w:szCs w:val="22"/>
          <w:lang w:val="en-GB"/>
        </w:rPr>
        <w:t>Reaffirming</w:t>
      </w:r>
      <w:r w:rsidR="000203F4">
        <w:rPr>
          <w:i/>
          <w:sz w:val="22"/>
          <w:szCs w:val="22"/>
          <w:lang w:val="en-GB"/>
        </w:rPr>
        <w:t xml:space="preserve"> </w:t>
      </w:r>
      <w:r w:rsidR="00113434">
        <w:rPr>
          <w:sz w:val="22"/>
          <w:szCs w:val="22"/>
          <w:lang w:val="en-GB"/>
        </w:rPr>
        <w:t>res</w:t>
      </w:r>
      <w:r w:rsidR="00B46A58">
        <w:rPr>
          <w:sz w:val="22"/>
          <w:szCs w:val="22"/>
          <w:lang w:val="en-GB"/>
        </w:rPr>
        <w:t>olution 2625 (XXV) of 24 October</w:t>
      </w:r>
      <w:r w:rsidR="00113434">
        <w:rPr>
          <w:sz w:val="22"/>
          <w:szCs w:val="22"/>
          <w:lang w:val="en-GB"/>
        </w:rPr>
        <w:t xml:space="preserve"> 1970, which approved the Declaration on Principles of International Law concerning Friendly Relations and Cooperation among States in accordance </w:t>
      </w:r>
      <w:r w:rsidR="00625508">
        <w:rPr>
          <w:sz w:val="22"/>
          <w:szCs w:val="22"/>
          <w:lang w:val="en-GB"/>
        </w:rPr>
        <w:t>with the Charter of the United Nations, and confirming the states laws that the territory of a State</w:t>
      </w:r>
      <w:r w:rsidR="001E0EB3">
        <w:rPr>
          <w:sz w:val="22"/>
          <w:szCs w:val="22"/>
          <w:lang w:val="en-GB"/>
        </w:rPr>
        <w:t xml:space="preserve"> </w:t>
      </w:r>
      <w:r w:rsidR="00BF32C7">
        <w:rPr>
          <w:sz w:val="22"/>
          <w:szCs w:val="22"/>
          <w:lang w:val="en-GB"/>
        </w:rPr>
        <w:t>shall not be the object of acquisition by another State resulting from the threat or use of force</w:t>
      </w:r>
      <w:r w:rsidR="006D76F2">
        <w:rPr>
          <w:sz w:val="22"/>
          <w:szCs w:val="22"/>
          <w:lang w:val="en-GB"/>
        </w:rPr>
        <w:t>,</w:t>
      </w:r>
    </w:p>
    <w:p w14:paraId="4BF01FF9" w14:textId="61398D3C" w:rsidR="006D76F2" w:rsidRDefault="00D751AF" w:rsidP="00C456A0">
      <w:pPr>
        <w:spacing w:after="240" w:line="276" w:lineRule="auto"/>
        <w:ind w:left="-720" w:right="-720"/>
        <w:jc w:val="both"/>
        <w:rPr>
          <w:sz w:val="22"/>
          <w:szCs w:val="22"/>
          <w:lang w:val="en-GB"/>
        </w:rPr>
      </w:pPr>
      <w:r>
        <w:rPr>
          <w:i/>
          <w:sz w:val="22"/>
          <w:szCs w:val="22"/>
          <w:lang w:val="en-GB"/>
        </w:rPr>
        <w:t>Noting with particularity</w:t>
      </w:r>
      <w:r w:rsidR="00086100">
        <w:rPr>
          <w:sz w:val="22"/>
          <w:szCs w:val="22"/>
          <w:lang w:val="en-GB"/>
        </w:rPr>
        <w:t xml:space="preserve"> resolution </w:t>
      </w:r>
      <w:r w:rsidR="00351CC1">
        <w:rPr>
          <w:sz w:val="22"/>
          <w:szCs w:val="22"/>
          <w:lang w:val="en-GB"/>
        </w:rPr>
        <w:t xml:space="preserve">68/262 </w:t>
      </w:r>
      <w:r w:rsidR="00B46A58">
        <w:rPr>
          <w:sz w:val="22"/>
          <w:szCs w:val="22"/>
          <w:lang w:val="en-GB"/>
        </w:rPr>
        <w:t>of 27 March 2014, which called upon all States, international organizations and specialized agencies not to recognize any alteration of the status of the Autonomous Republic of Crimea and the city of Sevastopol and to refrain from any action or dealing that might be interpreted as reco</w:t>
      </w:r>
      <w:r w:rsidR="000032A9">
        <w:rPr>
          <w:sz w:val="22"/>
          <w:szCs w:val="22"/>
          <w:lang w:val="en-GB"/>
        </w:rPr>
        <w:t>gnizing any such altered status,</w:t>
      </w:r>
    </w:p>
    <w:p w14:paraId="6526430A" w14:textId="77EC2490" w:rsidR="007B0B02" w:rsidRDefault="007B0B02" w:rsidP="00C456A0">
      <w:pPr>
        <w:spacing w:after="240" w:line="276" w:lineRule="auto"/>
        <w:ind w:left="-720" w:right="-720"/>
        <w:jc w:val="both"/>
        <w:rPr>
          <w:sz w:val="22"/>
          <w:szCs w:val="22"/>
          <w:lang w:val="en-GB"/>
        </w:rPr>
      </w:pPr>
      <w:r>
        <w:rPr>
          <w:i/>
          <w:sz w:val="22"/>
          <w:szCs w:val="22"/>
          <w:lang w:val="en-GB"/>
        </w:rPr>
        <w:t xml:space="preserve">Recalling further </w:t>
      </w:r>
      <w:r w:rsidR="0062023E">
        <w:rPr>
          <w:sz w:val="22"/>
          <w:szCs w:val="22"/>
          <w:lang w:val="en-GB"/>
        </w:rPr>
        <w:t>that in the period from November 2013 to February 2014, large-scale street protests erupted</w:t>
      </w:r>
      <w:r w:rsidR="00D751AF">
        <w:rPr>
          <w:sz w:val="22"/>
          <w:szCs w:val="22"/>
          <w:lang w:val="en-GB"/>
        </w:rPr>
        <w:t xml:space="preserve"> in the Ukraine</w:t>
      </w:r>
      <w:r w:rsidR="0062023E">
        <w:rPr>
          <w:sz w:val="22"/>
          <w:szCs w:val="22"/>
          <w:lang w:val="en-GB"/>
        </w:rPr>
        <w:t xml:space="preserve">, triggered by the decision of the former President Viktor Yanukovych not to sign an association agreement with the European Union, which, as a result, created a widespread, deep-seated dissatisfaction with </w:t>
      </w:r>
      <w:r w:rsidR="00D751AF">
        <w:rPr>
          <w:sz w:val="22"/>
          <w:szCs w:val="22"/>
          <w:lang w:val="en-GB"/>
        </w:rPr>
        <w:t xml:space="preserve">the then-existing </w:t>
      </w:r>
      <w:r w:rsidR="00E37910">
        <w:rPr>
          <w:sz w:val="22"/>
          <w:szCs w:val="22"/>
          <w:lang w:val="en-GB"/>
        </w:rPr>
        <w:t>Ukrainian</w:t>
      </w:r>
      <w:r w:rsidR="00D751AF">
        <w:rPr>
          <w:sz w:val="22"/>
          <w:szCs w:val="22"/>
          <w:lang w:val="en-GB"/>
        </w:rPr>
        <w:t xml:space="preserve"> government</w:t>
      </w:r>
      <w:r w:rsidR="0062023E">
        <w:rPr>
          <w:sz w:val="22"/>
          <w:szCs w:val="22"/>
          <w:lang w:val="en-GB"/>
        </w:rPr>
        <w:t>,</w:t>
      </w:r>
    </w:p>
    <w:p w14:paraId="1E3B4F31" w14:textId="4DE9AA36" w:rsidR="0062023E" w:rsidRDefault="00D751AF" w:rsidP="00C456A0">
      <w:pPr>
        <w:spacing w:after="240" w:line="276" w:lineRule="auto"/>
        <w:ind w:left="-720" w:right="-720"/>
        <w:jc w:val="both"/>
        <w:rPr>
          <w:sz w:val="22"/>
          <w:szCs w:val="22"/>
          <w:lang w:val="en-GB"/>
        </w:rPr>
      </w:pPr>
      <w:r>
        <w:rPr>
          <w:i/>
          <w:sz w:val="22"/>
          <w:szCs w:val="22"/>
          <w:lang w:val="en-GB"/>
        </w:rPr>
        <w:t>Reminding</w:t>
      </w:r>
      <w:r w:rsidR="00F92188">
        <w:rPr>
          <w:i/>
          <w:sz w:val="22"/>
          <w:szCs w:val="22"/>
          <w:lang w:val="en-GB"/>
        </w:rPr>
        <w:t xml:space="preserve"> </w:t>
      </w:r>
      <w:r w:rsidR="00F92188">
        <w:rPr>
          <w:sz w:val="22"/>
          <w:szCs w:val="22"/>
          <w:lang w:val="en-GB"/>
        </w:rPr>
        <w:t xml:space="preserve">that the protests </w:t>
      </w:r>
      <w:r w:rsidR="00814651">
        <w:rPr>
          <w:sz w:val="22"/>
          <w:szCs w:val="22"/>
          <w:lang w:val="en-GB"/>
        </w:rPr>
        <w:t xml:space="preserve">were further intensified </w:t>
      </w:r>
      <w:r w:rsidR="004F0622">
        <w:rPr>
          <w:sz w:val="22"/>
          <w:szCs w:val="22"/>
          <w:lang w:val="en-GB"/>
        </w:rPr>
        <w:t xml:space="preserve">by violence and </w:t>
      </w:r>
      <w:r w:rsidR="00946078">
        <w:rPr>
          <w:sz w:val="22"/>
          <w:szCs w:val="22"/>
          <w:lang w:val="en-GB"/>
        </w:rPr>
        <w:t xml:space="preserve">extreme use of force by the police which were mainly on Independence Square (Maidan) </w:t>
      </w:r>
      <w:r w:rsidR="00C01AF3">
        <w:rPr>
          <w:sz w:val="22"/>
          <w:szCs w:val="22"/>
          <w:lang w:val="en-GB"/>
        </w:rPr>
        <w:t>in Kie</w:t>
      </w:r>
      <w:r w:rsidR="00587308">
        <w:rPr>
          <w:sz w:val="22"/>
          <w:szCs w:val="22"/>
          <w:lang w:val="en-GB"/>
        </w:rPr>
        <w:t>v, where over 100 people were killed between Ja</w:t>
      </w:r>
      <w:r w:rsidR="00C01AF3">
        <w:rPr>
          <w:sz w:val="22"/>
          <w:szCs w:val="22"/>
          <w:lang w:val="en-GB"/>
        </w:rPr>
        <w:t>nuary and February 2014 that le</w:t>
      </w:r>
      <w:r w:rsidR="00587308">
        <w:rPr>
          <w:sz w:val="22"/>
          <w:szCs w:val="22"/>
          <w:lang w:val="en-GB"/>
        </w:rPr>
        <w:t xml:space="preserve">d to the downfall of the </w:t>
      </w:r>
      <w:r>
        <w:rPr>
          <w:sz w:val="22"/>
          <w:szCs w:val="22"/>
          <w:lang w:val="en-GB"/>
        </w:rPr>
        <w:t xml:space="preserve">then-existing </w:t>
      </w:r>
      <w:r w:rsidR="00E37910">
        <w:rPr>
          <w:sz w:val="22"/>
          <w:szCs w:val="22"/>
          <w:lang w:val="en-GB"/>
        </w:rPr>
        <w:t>Ukrainian</w:t>
      </w:r>
      <w:r>
        <w:rPr>
          <w:sz w:val="22"/>
          <w:szCs w:val="22"/>
          <w:lang w:val="en-GB"/>
        </w:rPr>
        <w:t xml:space="preserve"> g</w:t>
      </w:r>
      <w:r w:rsidR="00587308">
        <w:rPr>
          <w:sz w:val="22"/>
          <w:szCs w:val="22"/>
          <w:lang w:val="en-GB"/>
        </w:rPr>
        <w:t xml:space="preserve">overnment, the departure of the </w:t>
      </w:r>
      <w:r>
        <w:rPr>
          <w:sz w:val="22"/>
          <w:szCs w:val="22"/>
          <w:lang w:val="en-GB"/>
        </w:rPr>
        <w:t xml:space="preserve">previous </w:t>
      </w:r>
      <w:r w:rsidR="00587308">
        <w:rPr>
          <w:sz w:val="22"/>
          <w:szCs w:val="22"/>
          <w:lang w:val="en-GB"/>
        </w:rPr>
        <w:t xml:space="preserve">President to the Russian Federation and the formation of a </w:t>
      </w:r>
      <w:r>
        <w:rPr>
          <w:sz w:val="22"/>
          <w:szCs w:val="22"/>
          <w:lang w:val="en-GB"/>
        </w:rPr>
        <w:t xml:space="preserve">new, </w:t>
      </w:r>
      <w:r w:rsidR="00587308">
        <w:rPr>
          <w:sz w:val="22"/>
          <w:szCs w:val="22"/>
          <w:lang w:val="en-GB"/>
        </w:rPr>
        <w:t xml:space="preserve">pro-European interim </w:t>
      </w:r>
      <w:r w:rsidR="00E37910">
        <w:rPr>
          <w:sz w:val="22"/>
          <w:szCs w:val="22"/>
          <w:lang w:val="en-GB"/>
        </w:rPr>
        <w:t>Ukrainian</w:t>
      </w:r>
      <w:r>
        <w:rPr>
          <w:sz w:val="22"/>
          <w:szCs w:val="22"/>
          <w:lang w:val="en-GB"/>
        </w:rPr>
        <w:t xml:space="preserve"> g</w:t>
      </w:r>
      <w:r w:rsidR="00587308">
        <w:rPr>
          <w:sz w:val="22"/>
          <w:szCs w:val="22"/>
          <w:lang w:val="en-GB"/>
        </w:rPr>
        <w:t>overnment on 27 February 2014,</w:t>
      </w:r>
    </w:p>
    <w:p w14:paraId="65E9E451" w14:textId="1DBF42B3" w:rsidR="00720250" w:rsidRDefault="00720250" w:rsidP="00C456A0">
      <w:pPr>
        <w:spacing w:after="240" w:line="276" w:lineRule="auto"/>
        <w:ind w:left="-720" w:right="-720"/>
        <w:jc w:val="both"/>
        <w:rPr>
          <w:sz w:val="22"/>
          <w:szCs w:val="22"/>
          <w:lang w:val="en-GB"/>
        </w:rPr>
      </w:pPr>
      <w:r>
        <w:rPr>
          <w:i/>
          <w:sz w:val="22"/>
          <w:szCs w:val="22"/>
          <w:lang w:val="en-GB"/>
        </w:rPr>
        <w:lastRenderedPageBreak/>
        <w:t xml:space="preserve">Recognizing </w:t>
      </w:r>
      <w:r>
        <w:rPr>
          <w:sz w:val="22"/>
          <w:szCs w:val="22"/>
          <w:lang w:val="en-GB"/>
        </w:rPr>
        <w:t xml:space="preserve">that </w:t>
      </w:r>
      <w:r w:rsidR="00CC188F">
        <w:rPr>
          <w:sz w:val="22"/>
          <w:szCs w:val="22"/>
          <w:lang w:val="en-GB"/>
        </w:rPr>
        <w:t xml:space="preserve">the annexation of Crimea </w:t>
      </w:r>
      <w:r w:rsidR="00664939">
        <w:rPr>
          <w:sz w:val="22"/>
          <w:szCs w:val="22"/>
          <w:lang w:val="en-GB"/>
        </w:rPr>
        <w:t xml:space="preserve">by the Russian Federation </w:t>
      </w:r>
      <w:r w:rsidR="00D751AF">
        <w:rPr>
          <w:sz w:val="22"/>
          <w:szCs w:val="22"/>
          <w:lang w:val="en-GB"/>
        </w:rPr>
        <w:t>in</w:t>
      </w:r>
      <w:r w:rsidR="00CC188F">
        <w:rPr>
          <w:sz w:val="22"/>
          <w:szCs w:val="22"/>
          <w:lang w:val="en-GB"/>
        </w:rPr>
        <w:t xml:space="preserve"> March 2014</w:t>
      </w:r>
      <w:r w:rsidR="00854C6F">
        <w:rPr>
          <w:sz w:val="22"/>
          <w:szCs w:val="22"/>
          <w:lang w:val="en-GB"/>
        </w:rPr>
        <w:t xml:space="preserve"> </w:t>
      </w:r>
      <w:r w:rsidR="009C359A">
        <w:rPr>
          <w:sz w:val="22"/>
          <w:szCs w:val="22"/>
          <w:lang w:val="en-GB"/>
        </w:rPr>
        <w:t xml:space="preserve">was caused by a military intervention of </w:t>
      </w:r>
      <w:r w:rsidR="00015A3A">
        <w:rPr>
          <w:sz w:val="22"/>
          <w:szCs w:val="22"/>
          <w:lang w:val="en-GB"/>
        </w:rPr>
        <w:t xml:space="preserve">the </w:t>
      </w:r>
      <w:r w:rsidR="009C359A">
        <w:rPr>
          <w:sz w:val="22"/>
          <w:szCs w:val="22"/>
          <w:lang w:val="en-GB"/>
        </w:rPr>
        <w:t>Russia</w:t>
      </w:r>
      <w:r w:rsidR="00015A3A">
        <w:rPr>
          <w:sz w:val="22"/>
          <w:szCs w:val="22"/>
          <w:lang w:val="en-GB"/>
        </w:rPr>
        <w:t>n Federation</w:t>
      </w:r>
      <w:r w:rsidR="009C359A">
        <w:rPr>
          <w:sz w:val="22"/>
          <w:szCs w:val="22"/>
          <w:lang w:val="en-GB"/>
        </w:rPr>
        <w:t xml:space="preserve"> into the Autonomous Republic of Crimea and the city of Sevastopol</w:t>
      </w:r>
      <w:r w:rsidR="00D751AF">
        <w:rPr>
          <w:sz w:val="22"/>
          <w:szCs w:val="22"/>
          <w:lang w:val="en-GB"/>
        </w:rPr>
        <w:t xml:space="preserve"> that was not supported by the international community</w:t>
      </w:r>
      <w:r w:rsidR="00664939">
        <w:rPr>
          <w:sz w:val="22"/>
          <w:szCs w:val="22"/>
          <w:lang w:val="en-GB"/>
        </w:rPr>
        <w:t>,</w:t>
      </w:r>
    </w:p>
    <w:p w14:paraId="2728BE6B" w14:textId="66DF5A04" w:rsidR="00D751AF" w:rsidRPr="00F5657C" w:rsidRDefault="00D751AF" w:rsidP="00D751AF">
      <w:pPr>
        <w:spacing w:after="240" w:line="276" w:lineRule="auto"/>
        <w:ind w:left="-720" w:right="-720"/>
        <w:jc w:val="both"/>
        <w:rPr>
          <w:sz w:val="22"/>
          <w:szCs w:val="22"/>
          <w:lang w:val="en-GB"/>
        </w:rPr>
      </w:pPr>
      <w:r>
        <w:rPr>
          <w:i/>
          <w:sz w:val="22"/>
          <w:szCs w:val="22"/>
          <w:lang w:val="en-GB"/>
        </w:rPr>
        <w:t xml:space="preserve">Deploring </w:t>
      </w:r>
      <w:r w:rsidR="00C37357">
        <w:rPr>
          <w:sz w:val="22"/>
          <w:szCs w:val="22"/>
          <w:lang w:val="en-GB"/>
        </w:rPr>
        <w:t>numerous</w:t>
      </w:r>
      <w:r>
        <w:rPr>
          <w:sz w:val="22"/>
          <w:szCs w:val="22"/>
          <w:lang w:val="en-GB"/>
        </w:rPr>
        <w:t xml:space="preserve"> reports that have confirmed that the Russian Federation has and continues to provide, directly or indirectly, arms and ammunition, military equipment</w:t>
      </w:r>
      <w:r w:rsidR="00C01AF3">
        <w:rPr>
          <w:sz w:val="22"/>
          <w:szCs w:val="22"/>
          <w:lang w:val="en-GB"/>
        </w:rPr>
        <w:t>, troops</w:t>
      </w:r>
      <w:r>
        <w:rPr>
          <w:sz w:val="22"/>
          <w:szCs w:val="22"/>
          <w:lang w:val="en-GB"/>
        </w:rPr>
        <w:t xml:space="preserve"> and other support services to rebel forces in eastern Ukraine in contravention to the Ukraine government’s vehement opposition to such actions; </w:t>
      </w:r>
      <w:r>
        <w:rPr>
          <w:i/>
          <w:sz w:val="22"/>
          <w:szCs w:val="22"/>
          <w:lang w:val="en-GB"/>
        </w:rPr>
        <w:t>and condemning</w:t>
      </w:r>
      <w:r>
        <w:rPr>
          <w:sz w:val="22"/>
          <w:szCs w:val="22"/>
          <w:lang w:val="en-GB"/>
        </w:rPr>
        <w:t xml:space="preserve"> the current intense fighting by such rebels using heavy weaponry in and around population areas, which has devastated towns and v</w:t>
      </w:r>
      <w:r w:rsidR="008D4569">
        <w:rPr>
          <w:sz w:val="22"/>
          <w:szCs w:val="22"/>
          <w:lang w:val="en-GB"/>
        </w:rPr>
        <w:t>illages, demolished</w:t>
      </w:r>
      <w:r>
        <w:rPr>
          <w:sz w:val="22"/>
          <w:szCs w:val="22"/>
          <w:lang w:val="en-GB"/>
        </w:rPr>
        <w:t xml:space="preserve"> residential buildings</w:t>
      </w:r>
      <w:r w:rsidR="008D4569">
        <w:rPr>
          <w:sz w:val="22"/>
          <w:szCs w:val="22"/>
          <w:lang w:val="en-GB"/>
        </w:rPr>
        <w:t>,</w:t>
      </w:r>
      <w:r>
        <w:rPr>
          <w:sz w:val="22"/>
          <w:szCs w:val="22"/>
          <w:lang w:val="en-GB"/>
        </w:rPr>
        <w:t xml:space="preserve"> </w:t>
      </w:r>
      <w:r w:rsidR="008D4569">
        <w:rPr>
          <w:sz w:val="22"/>
          <w:szCs w:val="22"/>
          <w:lang w:val="en-GB"/>
        </w:rPr>
        <w:t>killed</w:t>
      </w:r>
      <w:r>
        <w:rPr>
          <w:sz w:val="22"/>
          <w:szCs w:val="22"/>
          <w:lang w:val="en-GB"/>
        </w:rPr>
        <w:t xml:space="preserve"> an increasing number of their inhabitants, </w:t>
      </w:r>
      <w:r w:rsidR="008D4569">
        <w:rPr>
          <w:sz w:val="22"/>
          <w:szCs w:val="22"/>
          <w:lang w:val="en-GB"/>
        </w:rPr>
        <w:t>and exacerbated</w:t>
      </w:r>
      <w:r>
        <w:rPr>
          <w:sz w:val="22"/>
          <w:szCs w:val="22"/>
          <w:lang w:val="en-GB"/>
        </w:rPr>
        <w:t xml:space="preserve"> the deplorable human rights abuses that have been </w:t>
      </w:r>
      <w:r w:rsidR="00165CD4">
        <w:rPr>
          <w:sz w:val="22"/>
          <w:szCs w:val="22"/>
          <w:lang w:val="en-GB"/>
        </w:rPr>
        <w:t>committed in the Donetsk and Lug</w:t>
      </w:r>
      <w:r>
        <w:rPr>
          <w:sz w:val="22"/>
          <w:szCs w:val="22"/>
          <w:lang w:val="en-GB"/>
        </w:rPr>
        <w:t>ansk regions of eastern U</w:t>
      </w:r>
      <w:r w:rsidR="00C37357">
        <w:rPr>
          <w:sz w:val="22"/>
          <w:szCs w:val="22"/>
          <w:lang w:val="en-GB"/>
        </w:rPr>
        <w:t>kraine, including the recent sieges on the Donetsk airport and on Mariupol,</w:t>
      </w:r>
      <w:r w:rsidR="00F5657C">
        <w:rPr>
          <w:sz w:val="22"/>
          <w:szCs w:val="22"/>
          <w:lang w:val="en-GB"/>
        </w:rPr>
        <w:t xml:space="preserve"> </w:t>
      </w:r>
      <w:r w:rsidR="00F5657C">
        <w:rPr>
          <w:i/>
          <w:sz w:val="22"/>
          <w:szCs w:val="22"/>
          <w:lang w:val="en-GB"/>
        </w:rPr>
        <w:t xml:space="preserve">and further condemning </w:t>
      </w:r>
      <w:r w:rsidR="00F5657C">
        <w:rPr>
          <w:sz w:val="22"/>
          <w:szCs w:val="22"/>
          <w:lang w:val="en-GB"/>
        </w:rPr>
        <w:t xml:space="preserve">the pro-Russian Federation rebels’ recent announcement reneging </w:t>
      </w:r>
      <w:r w:rsidR="00363F75">
        <w:rPr>
          <w:sz w:val="22"/>
          <w:szCs w:val="22"/>
          <w:lang w:val="en-GB"/>
        </w:rPr>
        <w:t xml:space="preserve">on </w:t>
      </w:r>
      <w:r w:rsidR="00F5657C">
        <w:rPr>
          <w:sz w:val="22"/>
          <w:szCs w:val="22"/>
          <w:lang w:val="en-GB"/>
        </w:rPr>
        <w:t>their agreement and compliance with the Minsk</w:t>
      </w:r>
      <w:r w:rsidR="00363F75">
        <w:rPr>
          <w:sz w:val="22"/>
          <w:szCs w:val="22"/>
          <w:lang w:val="en-GB"/>
        </w:rPr>
        <w:t xml:space="preserve"> accord,</w:t>
      </w:r>
      <w:bookmarkStart w:id="0" w:name="_GoBack"/>
      <w:bookmarkEnd w:id="0"/>
    </w:p>
    <w:p w14:paraId="60AA2984" w14:textId="3ADDE97E" w:rsidR="00664939" w:rsidRDefault="00664939" w:rsidP="00C456A0">
      <w:pPr>
        <w:spacing w:after="240" w:line="276" w:lineRule="auto"/>
        <w:ind w:left="-720" w:right="-720"/>
        <w:jc w:val="both"/>
        <w:rPr>
          <w:sz w:val="22"/>
          <w:szCs w:val="22"/>
          <w:lang w:val="en-GB"/>
        </w:rPr>
      </w:pPr>
      <w:r>
        <w:rPr>
          <w:i/>
          <w:sz w:val="22"/>
          <w:szCs w:val="22"/>
          <w:lang w:val="en-GB"/>
        </w:rPr>
        <w:t xml:space="preserve">Expressing profound concern </w:t>
      </w:r>
      <w:r>
        <w:rPr>
          <w:sz w:val="22"/>
          <w:szCs w:val="22"/>
          <w:lang w:val="en-GB"/>
        </w:rPr>
        <w:t xml:space="preserve">that </w:t>
      </w:r>
      <w:r w:rsidR="00F5657C">
        <w:rPr>
          <w:sz w:val="22"/>
          <w:szCs w:val="22"/>
          <w:lang w:val="en-GB"/>
        </w:rPr>
        <w:t>by 24 January 2015</w:t>
      </w:r>
      <w:r w:rsidR="00D228DB">
        <w:rPr>
          <w:sz w:val="22"/>
          <w:szCs w:val="22"/>
          <w:lang w:val="en-GB"/>
        </w:rPr>
        <w:t>, the total number of casualties in the east</w:t>
      </w:r>
      <w:r w:rsidR="008D4569">
        <w:rPr>
          <w:sz w:val="22"/>
          <w:szCs w:val="22"/>
          <w:lang w:val="en-GB"/>
        </w:rPr>
        <w:t>ern regions of the Ukraine</w:t>
      </w:r>
      <w:r w:rsidR="00D228DB">
        <w:rPr>
          <w:sz w:val="22"/>
          <w:szCs w:val="22"/>
          <w:lang w:val="en-GB"/>
        </w:rPr>
        <w:t xml:space="preserve"> ha</w:t>
      </w:r>
      <w:r w:rsidR="008D4569">
        <w:rPr>
          <w:sz w:val="22"/>
          <w:szCs w:val="22"/>
          <w:lang w:val="en-GB"/>
        </w:rPr>
        <w:t>ve</w:t>
      </w:r>
      <w:r w:rsidR="00D228DB">
        <w:rPr>
          <w:sz w:val="22"/>
          <w:szCs w:val="22"/>
          <w:lang w:val="en-GB"/>
        </w:rPr>
        <w:t xml:space="preserve"> reached at least </w:t>
      </w:r>
      <w:r w:rsidR="00F5657C">
        <w:rPr>
          <w:sz w:val="22"/>
          <w:szCs w:val="22"/>
          <w:lang w:val="en-GB"/>
        </w:rPr>
        <w:t>5,100</w:t>
      </w:r>
      <w:r w:rsidR="000638B4">
        <w:rPr>
          <w:sz w:val="22"/>
          <w:szCs w:val="22"/>
          <w:lang w:val="en-GB"/>
        </w:rPr>
        <w:t xml:space="preserve"> killed</w:t>
      </w:r>
      <w:r w:rsidR="00165CD4">
        <w:rPr>
          <w:sz w:val="22"/>
          <w:szCs w:val="22"/>
          <w:lang w:val="en-GB"/>
        </w:rPr>
        <w:t xml:space="preserve"> and</w:t>
      </w:r>
      <w:r w:rsidR="000638B4">
        <w:rPr>
          <w:sz w:val="22"/>
          <w:szCs w:val="22"/>
          <w:lang w:val="en-GB"/>
        </w:rPr>
        <w:t xml:space="preserve"> </w:t>
      </w:r>
      <w:r w:rsidR="00F5657C">
        <w:rPr>
          <w:sz w:val="22"/>
          <w:szCs w:val="22"/>
          <w:lang w:val="en-GB"/>
        </w:rPr>
        <w:t xml:space="preserve">over </w:t>
      </w:r>
      <w:r w:rsidR="000638B4">
        <w:rPr>
          <w:sz w:val="22"/>
          <w:szCs w:val="22"/>
          <w:lang w:val="en-GB"/>
        </w:rPr>
        <w:t>10,064 wounded</w:t>
      </w:r>
      <w:r w:rsidR="00533760">
        <w:rPr>
          <w:rStyle w:val="FootnoteReference"/>
          <w:sz w:val="22"/>
          <w:szCs w:val="22"/>
          <w:lang w:val="en-GB"/>
        </w:rPr>
        <w:footnoteReference w:id="1"/>
      </w:r>
      <w:r w:rsidR="00165CD4">
        <w:rPr>
          <w:sz w:val="22"/>
          <w:szCs w:val="22"/>
          <w:lang w:val="en-GB"/>
        </w:rPr>
        <w:t>,</w:t>
      </w:r>
      <w:r w:rsidR="008B44A4">
        <w:rPr>
          <w:sz w:val="22"/>
          <w:szCs w:val="22"/>
          <w:lang w:val="en-GB"/>
        </w:rPr>
        <w:t xml:space="preserve"> </w:t>
      </w:r>
      <w:r w:rsidR="008D4569">
        <w:rPr>
          <w:sz w:val="22"/>
          <w:szCs w:val="22"/>
          <w:lang w:val="en-GB"/>
        </w:rPr>
        <w:t>and the continued fighting by Russian Federation-supported rebels have further caused</w:t>
      </w:r>
      <w:r w:rsidR="008B44A4">
        <w:rPr>
          <w:sz w:val="22"/>
          <w:szCs w:val="22"/>
          <w:lang w:val="en-GB"/>
        </w:rPr>
        <w:t xml:space="preserve"> a rapid increase in the number of internally displaced persons (</w:t>
      </w:r>
      <w:r w:rsidR="00F35559">
        <w:rPr>
          <w:sz w:val="22"/>
          <w:szCs w:val="22"/>
          <w:lang w:val="en-GB"/>
        </w:rPr>
        <w:t>“</w:t>
      </w:r>
      <w:r w:rsidR="008B44A4">
        <w:rPr>
          <w:sz w:val="22"/>
          <w:szCs w:val="22"/>
          <w:lang w:val="en-GB"/>
        </w:rPr>
        <w:t>IDPs</w:t>
      </w:r>
      <w:r w:rsidR="00F35559">
        <w:rPr>
          <w:sz w:val="22"/>
          <w:szCs w:val="22"/>
          <w:lang w:val="en-GB"/>
        </w:rPr>
        <w:t>”</w:t>
      </w:r>
      <w:r w:rsidR="008B44A4">
        <w:rPr>
          <w:sz w:val="22"/>
          <w:szCs w:val="22"/>
          <w:lang w:val="en-GB"/>
        </w:rPr>
        <w:t>),</w:t>
      </w:r>
      <w:r w:rsidR="00165CD4" w:rsidRPr="00165CD4">
        <w:rPr>
          <w:sz w:val="22"/>
          <w:szCs w:val="22"/>
          <w:lang w:val="en-GB"/>
        </w:rPr>
        <w:t xml:space="preserve"> </w:t>
      </w:r>
      <w:r w:rsidR="00165CD4">
        <w:rPr>
          <w:sz w:val="22"/>
          <w:szCs w:val="22"/>
          <w:lang w:val="en-GB"/>
        </w:rPr>
        <w:t>resulting in approximately 1.5 million refugees fleeing these regions to other parts of the Ukraine and the Russian Federation,</w:t>
      </w:r>
    </w:p>
    <w:p w14:paraId="789C4B24" w14:textId="7DB11898" w:rsidR="00BC2B6D" w:rsidRDefault="003764A0" w:rsidP="00BC2B6D">
      <w:pPr>
        <w:spacing w:after="240" w:line="276" w:lineRule="auto"/>
        <w:ind w:left="-720" w:right="-720"/>
        <w:jc w:val="both"/>
        <w:rPr>
          <w:sz w:val="22"/>
          <w:szCs w:val="22"/>
          <w:lang w:val="en-GB"/>
        </w:rPr>
      </w:pPr>
      <w:r>
        <w:rPr>
          <w:i/>
          <w:sz w:val="22"/>
          <w:szCs w:val="22"/>
          <w:lang w:val="en-GB"/>
        </w:rPr>
        <w:t xml:space="preserve">Endorsing </w:t>
      </w:r>
      <w:r>
        <w:rPr>
          <w:sz w:val="22"/>
          <w:szCs w:val="22"/>
          <w:lang w:val="en-GB"/>
        </w:rPr>
        <w:t xml:space="preserve">the work of the </w:t>
      </w:r>
      <w:r w:rsidR="00C2319F">
        <w:rPr>
          <w:sz w:val="22"/>
          <w:szCs w:val="22"/>
          <w:lang w:val="en-GB"/>
        </w:rPr>
        <w:t xml:space="preserve">Office of the High Commissioner for Human Rights that deployed a Human Rights Monitoring Mission to Ukraine on 14 March 2014 in order to monitor and report on the human rights situation throughout Ukraine and to propose recommendations to the </w:t>
      </w:r>
      <w:r w:rsidR="008D4569">
        <w:rPr>
          <w:sz w:val="22"/>
          <w:szCs w:val="22"/>
          <w:lang w:val="en-GB"/>
        </w:rPr>
        <w:t>Ukraine g</w:t>
      </w:r>
      <w:r w:rsidR="00C2319F">
        <w:rPr>
          <w:sz w:val="22"/>
          <w:szCs w:val="22"/>
          <w:lang w:val="en-GB"/>
        </w:rPr>
        <w:t>overnment and other actors to address emerging human rights issues as well as the root causes of the situation</w:t>
      </w:r>
      <w:r w:rsidR="008D4569">
        <w:rPr>
          <w:sz w:val="22"/>
          <w:szCs w:val="22"/>
          <w:lang w:val="en-GB"/>
        </w:rPr>
        <w:t xml:space="preserve">, </w:t>
      </w:r>
      <w:r w:rsidR="008D4569">
        <w:rPr>
          <w:i/>
          <w:sz w:val="22"/>
          <w:szCs w:val="22"/>
          <w:lang w:val="en-GB"/>
        </w:rPr>
        <w:t>and congratulating</w:t>
      </w:r>
      <w:r w:rsidR="00C2319F">
        <w:rPr>
          <w:sz w:val="22"/>
          <w:szCs w:val="22"/>
          <w:lang w:val="en-GB"/>
        </w:rPr>
        <w:t xml:space="preserve"> </w:t>
      </w:r>
      <w:r w:rsidR="008D4569">
        <w:rPr>
          <w:sz w:val="22"/>
          <w:szCs w:val="22"/>
          <w:lang w:val="en-GB"/>
        </w:rPr>
        <w:t>the collaborative efforts of such UN Monitoring Mission</w:t>
      </w:r>
      <w:r w:rsidR="0046781B">
        <w:rPr>
          <w:rStyle w:val="FootnoteReference"/>
          <w:sz w:val="22"/>
          <w:szCs w:val="22"/>
          <w:lang w:val="en-GB"/>
        </w:rPr>
        <w:footnoteReference w:id="2"/>
      </w:r>
      <w:r w:rsidR="009E66EB">
        <w:rPr>
          <w:sz w:val="22"/>
          <w:szCs w:val="22"/>
          <w:lang w:val="en-GB"/>
        </w:rPr>
        <w:t xml:space="preserve"> working closely with the Special Monitoring Mission in Ukraine of the Organization for Security and Cooperation in Europe (</w:t>
      </w:r>
      <w:r w:rsidR="00F35559">
        <w:rPr>
          <w:sz w:val="22"/>
          <w:szCs w:val="22"/>
          <w:lang w:val="en-GB"/>
        </w:rPr>
        <w:t>“</w:t>
      </w:r>
      <w:r w:rsidR="009E66EB">
        <w:rPr>
          <w:sz w:val="22"/>
          <w:szCs w:val="22"/>
          <w:lang w:val="en-GB"/>
        </w:rPr>
        <w:t>OSCE</w:t>
      </w:r>
      <w:r w:rsidR="00F35559">
        <w:rPr>
          <w:sz w:val="22"/>
          <w:szCs w:val="22"/>
          <w:lang w:val="en-GB"/>
        </w:rPr>
        <w:t>”</w:t>
      </w:r>
      <w:r w:rsidR="009E66EB">
        <w:rPr>
          <w:sz w:val="22"/>
          <w:szCs w:val="22"/>
          <w:lang w:val="en-GB"/>
        </w:rPr>
        <w:t>) as well as cooperating with international and regional organization</w:t>
      </w:r>
      <w:r w:rsidR="008D4569">
        <w:rPr>
          <w:sz w:val="22"/>
          <w:szCs w:val="22"/>
          <w:lang w:val="en-GB"/>
        </w:rPr>
        <w:t>s</w:t>
      </w:r>
      <w:r w:rsidR="009E66EB">
        <w:rPr>
          <w:sz w:val="22"/>
          <w:szCs w:val="22"/>
          <w:lang w:val="en-GB"/>
        </w:rPr>
        <w:t>, other United Nations agencies and programmes</w:t>
      </w:r>
      <w:r w:rsidR="00BC2B6D">
        <w:rPr>
          <w:sz w:val="22"/>
          <w:szCs w:val="22"/>
          <w:lang w:val="en-GB"/>
        </w:rPr>
        <w:t>, and non-governmental organization</w:t>
      </w:r>
      <w:r w:rsidR="008D4569">
        <w:rPr>
          <w:sz w:val="22"/>
          <w:szCs w:val="22"/>
          <w:lang w:val="en-GB"/>
        </w:rPr>
        <w:t>s</w:t>
      </w:r>
      <w:r w:rsidR="00BC2B6D">
        <w:rPr>
          <w:sz w:val="22"/>
          <w:szCs w:val="22"/>
          <w:lang w:val="en-GB"/>
        </w:rPr>
        <w:t xml:space="preserve"> in order to accomplish its objectives,</w:t>
      </w:r>
    </w:p>
    <w:p w14:paraId="2B4858FE" w14:textId="77777777" w:rsidR="00CE0D1D" w:rsidRDefault="00A8040D" w:rsidP="00CE0D1D">
      <w:pPr>
        <w:spacing w:after="240" w:line="276" w:lineRule="auto"/>
        <w:ind w:left="-720" w:right="-720"/>
        <w:jc w:val="both"/>
        <w:rPr>
          <w:sz w:val="22"/>
          <w:szCs w:val="22"/>
          <w:lang w:val="en-GB"/>
        </w:rPr>
      </w:pPr>
      <w:r w:rsidRPr="00BC2B6D">
        <w:rPr>
          <w:i/>
          <w:sz w:val="22"/>
          <w:szCs w:val="22"/>
          <w:lang w:val="en-GB"/>
        </w:rPr>
        <w:t xml:space="preserve">Stressing </w:t>
      </w:r>
      <w:r w:rsidRPr="00BC2B6D">
        <w:rPr>
          <w:sz w:val="22"/>
          <w:szCs w:val="22"/>
          <w:lang w:val="en-GB"/>
        </w:rPr>
        <w:t>the importance of maintaining the inclusive political dialogue in Ukraine that reflects the diversity of its society and includes representation from all parts of Ukraine,</w:t>
      </w:r>
    </w:p>
    <w:p w14:paraId="3693D03B" w14:textId="773D2688" w:rsidR="008D4569" w:rsidRPr="00322C55" w:rsidRDefault="008D4569" w:rsidP="008D4569">
      <w:pPr>
        <w:spacing w:after="240" w:line="276" w:lineRule="auto"/>
        <w:ind w:left="-720" w:right="-720"/>
        <w:jc w:val="both"/>
        <w:rPr>
          <w:sz w:val="22"/>
          <w:szCs w:val="22"/>
          <w:lang w:val="en-GB"/>
        </w:rPr>
      </w:pPr>
      <w:r>
        <w:rPr>
          <w:i/>
          <w:sz w:val="22"/>
          <w:szCs w:val="22"/>
          <w:lang w:val="en-GB"/>
        </w:rPr>
        <w:t xml:space="preserve">Drawing special attention </w:t>
      </w:r>
      <w:r>
        <w:rPr>
          <w:sz w:val="22"/>
          <w:szCs w:val="22"/>
          <w:lang w:val="en-GB"/>
        </w:rPr>
        <w:t>to the fact that the Ukrainian parliament recently ended its nation’s nonaligned status, which serves as the initial step toward eventual membership in NATO, and which unfortunately has led to further increased tensions between the Ukraine and the Russian Federation,</w:t>
      </w:r>
    </w:p>
    <w:p w14:paraId="3EEBEACA" w14:textId="1089F76C" w:rsidR="00C456A0" w:rsidRDefault="00C456A0" w:rsidP="00383429">
      <w:pPr>
        <w:spacing w:after="240" w:line="276" w:lineRule="auto"/>
        <w:ind w:left="-720" w:right="-720"/>
        <w:jc w:val="both"/>
        <w:rPr>
          <w:sz w:val="22"/>
          <w:szCs w:val="22"/>
          <w:lang w:val="en-GB"/>
        </w:rPr>
      </w:pPr>
      <w:r>
        <w:rPr>
          <w:i/>
          <w:sz w:val="22"/>
          <w:szCs w:val="22"/>
          <w:lang w:val="en-GB"/>
        </w:rPr>
        <w:t>Determining</w:t>
      </w:r>
      <w:r>
        <w:rPr>
          <w:sz w:val="22"/>
          <w:szCs w:val="22"/>
          <w:lang w:val="en-GB"/>
        </w:rPr>
        <w:t xml:space="preserve"> that the </w:t>
      </w:r>
      <w:r w:rsidR="00030639">
        <w:rPr>
          <w:sz w:val="22"/>
          <w:szCs w:val="22"/>
          <w:lang w:val="en-GB"/>
        </w:rPr>
        <w:t xml:space="preserve">international community will no longer tolerate the Russian Federation’s aggression against the Ukraine </w:t>
      </w:r>
      <w:r w:rsidR="00C01AF3">
        <w:rPr>
          <w:sz w:val="22"/>
          <w:szCs w:val="22"/>
          <w:lang w:val="en-GB"/>
        </w:rPr>
        <w:t xml:space="preserve">and its attempts to acquire control over additional Ukrainian territories, </w:t>
      </w:r>
      <w:r w:rsidR="00030639">
        <w:rPr>
          <w:sz w:val="22"/>
          <w:szCs w:val="22"/>
          <w:lang w:val="en-GB"/>
        </w:rPr>
        <w:t xml:space="preserve">and that the </w:t>
      </w:r>
      <w:r>
        <w:rPr>
          <w:sz w:val="22"/>
          <w:szCs w:val="22"/>
          <w:lang w:val="en-GB"/>
        </w:rPr>
        <w:t xml:space="preserve">continued </w:t>
      </w:r>
      <w:r>
        <w:rPr>
          <w:sz w:val="22"/>
          <w:szCs w:val="22"/>
          <w:lang w:val="en-GB"/>
        </w:rPr>
        <w:lastRenderedPageBreak/>
        <w:t xml:space="preserve">devastating effects of violence </w:t>
      </w:r>
      <w:r w:rsidR="008D4569">
        <w:rPr>
          <w:sz w:val="22"/>
          <w:szCs w:val="22"/>
          <w:lang w:val="en-GB"/>
        </w:rPr>
        <w:t xml:space="preserve">and human rights abuses </w:t>
      </w:r>
      <w:r w:rsidR="00CF5DC0">
        <w:rPr>
          <w:sz w:val="22"/>
          <w:szCs w:val="22"/>
          <w:lang w:val="en-GB"/>
        </w:rPr>
        <w:t xml:space="preserve">in </w:t>
      </w:r>
      <w:r w:rsidR="008D4569">
        <w:rPr>
          <w:sz w:val="22"/>
          <w:szCs w:val="22"/>
          <w:lang w:val="en-GB"/>
        </w:rPr>
        <w:t xml:space="preserve">the </w:t>
      </w:r>
      <w:r w:rsidR="00CF5DC0">
        <w:rPr>
          <w:sz w:val="22"/>
          <w:szCs w:val="22"/>
          <w:lang w:val="en-GB"/>
        </w:rPr>
        <w:t>Ukraine</w:t>
      </w:r>
      <w:r>
        <w:rPr>
          <w:sz w:val="22"/>
          <w:szCs w:val="22"/>
          <w:lang w:val="en-GB"/>
        </w:rPr>
        <w:t xml:space="preserve"> </w:t>
      </w:r>
      <w:r w:rsidR="00FA56A8">
        <w:rPr>
          <w:sz w:val="22"/>
          <w:szCs w:val="22"/>
          <w:lang w:val="en-GB"/>
        </w:rPr>
        <w:t xml:space="preserve">will lead to more casualties and the escalation of </w:t>
      </w:r>
      <w:r w:rsidR="00DF6DB7">
        <w:rPr>
          <w:sz w:val="22"/>
          <w:szCs w:val="22"/>
          <w:lang w:val="en-GB"/>
        </w:rPr>
        <w:t xml:space="preserve">protests/violence among </w:t>
      </w:r>
      <w:r w:rsidR="008D4569">
        <w:rPr>
          <w:sz w:val="22"/>
          <w:szCs w:val="22"/>
          <w:lang w:val="en-GB"/>
        </w:rPr>
        <w:t>its</w:t>
      </w:r>
      <w:r w:rsidR="00DF6DB7">
        <w:rPr>
          <w:sz w:val="22"/>
          <w:szCs w:val="22"/>
          <w:lang w:val="en-GB"/>
        </w:rPr>
        <w:t xml:space="preserve"> citizens, which </w:t>
      </w:r>
      <w:r w:rsidR="00030639">
        <w:rPr>
          <w:sz w:val="22"/>
          <w:szCs w:val="22"/>
          <w:lang w:val="en-GB"/>
        </w:rPr>
        <w:t>mandates</w:t>
      </w:r>
      <w:r w:rsidR="00DF6DB7">
        <w:rPr>
          <w:sz w:val="22"/>
          <w:szCs w:val="22"/>
          <w:lang w:val="en-GB"/>
        </w:rPr>
        <w:t xml:space="preserve"> that more intensive efforts must be taken by member States to more effectively monitor and resolve the </w:t>
      </w:r>
      <w:r w:rsidR="00030639">
        <w:rPr>
          <w:sz w:val="22"/>
          <w:szCs w:val="22"/>
          <w:lang w:val="en-GB"/>
        </w:rPr>
        <w:t>situation</w:t>
      </w:r>
      <w:r w:rsidR="00DF6DB7">
        <w:rPr>
          <w:sz w:val="22"/>
          <w:szCs w:val="22"/>
          <w:lang w:val="en-GB"/>
        </w:rPr>
        <w:t xml:space="preserve"> </w:t>
      </w:r>
      <w:r w:rsidR="00697AEB">
        <w:rPr>
          <w:sz w:val="22"/>
          <w:szCs w:val="22"/>
          <w:lang w:val="en-GB"/>
        </w:rPr>
        <w:t xml:space="preserve">in </w:t>
      </w:r>
      <w:r w:rsidR="00030639">
        <w:rPr>
          <w:sz w:val="22"/>
          <w:szCs w:val="22"/>
          <w:lang w:val="en-GB"/>
        </w:rPr>
        <w:t xml:space="preserve">the </w:t>
      </w:r>
      <w:r w:rsidR="00697AEB">
        <w:rPr>
          <w:sz w:val="22"/>
          <w:szCs w:val="22"/>
          <w:lang w:val="en-GB"/>
        </w:rPr>
        <w:t>Ukr</w:t>
      </w:r>
      <w:r w:rsidR="00383429">
        <w:rPr>
          <w:sz w:val="22"/>
          <w:szCs w:val="22"/>
          <w:lang w:val="en-GB"/>
        </w:rPr>
        <w:t>aine</w:t>
      </w:r>
      <w:r w:rsidR="00030639">
        <w:rPr>
          <w:sz w:val="22"/>
          <w:szCs w:val="22"/>
          <w:lang w:val="en-GB"/>
        </w:rPr>
        <w:t>,</w:t>
      </w:r>
    </w:p>
    <w:p w14:paraId="752F65B2" w14:textId="73A28D7D" w:rsidR="002D6A0B" w:rsidRDefault="00057587" w:rsidP="002D6A0B">
      <w:pPr>
        <w:pStyle w:val="ListParagraph"/>
        <w:numPr>
          <w:ilvl w:val="0"/>
          <w:numId w:val="2"/>
        </w:numPr>
        <w:spacing w:after="240" w:line="276" w:lineRule="auto"/>
        <w:ind w:right="-720"/>
        <w:jc w:val="both"/>
        <w:rPr>
          <w:sz w:val="22"/>
          <w:szCs w:val="22"/>
          <w:lang w:val="en-GB"/>
        </w:rPr>
      </w:pPr>
      <w:r>
        <w:rPr>
          <w:i/>
          <w:sz w:val="22"/>
          <w:szCs w:val="22"/>
          <w:lang w:val="en-GB"/>
        </w:rPr>
        <w:t>D</w:t>
      </w:r>
      <w:r w:rsidR="00786077">
        <w:rPr>
          <w:i/>
          <w:sz w:val="22"/>
          <w:szCs w:val="22"/>
          <w:lang w:val="en-GB"/>
        </w:rPr>
        <w:t>ecides</w:t>
      </w:r>
      <w:r w:rsidR="00786077">
        <w:rPr>
          <w:sz w:val="22"/>
          <w:szCs w:val="22"/>
          <w:lang w:val="en-GB"/>
        </w:rPr>
        <w:t xml:space="preserve"> </w:t>
      </w:r>
      <w:r w:rsidR="00216361">
        <w:rPr>
          <w:sz w:val="22"/>
          <w:szCs w:val="22"/>
          <w:lang w:val="en-GB"/>
        </w:rPr>
        <w:t xml:space="preserve">to send a peacekeeping mission to </w:t>
      </w:r>
      <w:r w:rsidR="00C522E0">
        <w:rPr>
          <w:sz w:val="22"/>
          <w:szCs w:val="22"/>
          <w:lang w:val="en-GB"/>
        </w:rPr>
        <w:t xml:space="preserve">the </w:t>
      </w:r>
      <w:r w:rsidR="00216361">
        <w:rPr>
          <w:sz w:val="22"/>
          <w:szCs w:val="22"/>
          <w:lang w:val="en-GB"/>
        </w:rPr>
        <w:t>Ukraine</w:t>
      </w:r>
      <w:r w:rsidR="00013BEA">
        <w:rPr>
          <w:sz w:val="22"/>
          <w:szCs w:val="22"/>
          <w:lang w:val="en-GB"/>
        </w:rPr>
        <w:t xml:space="preserve"> </w:t>
      </w:r>
      <w:r w:rsidR="00810CAD">
        <w:rPr>
          <w:sz w:val="22"/>
          <w:szCs w:val="22"/>
          <w:lang w:val="en-GB"/>
        </w:rPr>
        <w:t xml:space="preserve">in light of the deteriorating situation in </w:t>
      </w:r>
      <w:r w:rsidR="00C522E0">
        <w:rPr>
          <w:sz w:val="22"/>
          <w:szCs w:val="22"/>
          <w:lang w:val="en-GB"/>
        </w:rPr>
        <w:t xml:space="preserve">the </w:t>
      </w:r>
      <w:r w:rsidR="00810CAD">
        <w:rPr>
          <w:sz w:val="22"/>
          <w:szCs w:val="22"/>
          <w:lang w:val="en-GB"/>
        </w:rPr>
        <w:t>Ukraine</w:t>
      </w:r>
      <w:r w:rsidR="005F4E56">
        <w:rPr>
          <w:sz w:val="22"/>
          <w:szCs w:val="22"/>
          <w:lang w:val="en-GB"/>
        </w:rPr>
        <w:t xml:space="preserve"> in order to support the protection of civilians, </w:t>
      </w:r>
      <w:r w:rsidR="002D6A0B">
        <w:rPr>
          <w:sz w:val="22"/>
          <w:szCs w:val="22"/>
          <w:lang w:val="en-GB"/>
        </w:rPr>
        <w:t xml:space="preserve">stop the </w:t>
      </w:r>
      <w:r w:rsidR="00C522E0">
        <w:rPr>
          <w:sz w:val="22"/>
          <w:szCs w:val="22"/>
          <w:lang w:val="en-GB"/>
        </w:rPr>
        <w:t>supply or distribution</w:t>
      </w:r>
      <w:r w:rsidR="002D6A0B">
        <w:rPr>
          <w:sz w:val="22"/>
          <w:szCs w:val="22"/>
          <w:lang w:val="en-GB"/>
        </w:rPr>
        <w:t xml:space="preserve"> of any arms</w:t>
      </w:r>
      <w:r w:rsidR="00C522E0">
        <w:rPr>
          <w:sz w:val="22"/>
          <w:szCs w:val="22"/>
          <w:lang w:val="en-GB"/>
        </w:rPr>
        <w:t>, military equipment or military support services</w:t>
      </w:r>
      <w:r w:rsidR="002D6A0B">
        <w:rPr>
          <w:sz w:val="22"/>
          <w:szCs w:val="22"/>
          <w:lang w:val="en-GB"/>
        </w:rPr>
        <w:t xml:space="preserve"> into </w:t>
      </w:r>
      <w:r w:rsidR="00C522E0">
        <w:rPr>
          <w:sz w:val="22"/>
          <w:szCs w:val="22"/>
          <w:lang w:val="en-GB"/>
        </w:rPr>
        <w:t xml:space="preserve">the </w:t>
      </w:r>
      <w:r w:rsidR="002D6A0B">
        <w:rPr>
          <w:sz w:val="22"/>
          <w:szCs w:val="22"/>
          <w:lang w:val="en-GB"/>
        </w:rPr>
        <w:t xml:space="preserve">Ukraine from </w:t>
      </w:r>
      <w:r w:rsidR="00C522E0">
        <w:rPr>
          <w:sz w:val="22"/>
          <w:szCs w:val="22"/>
          <w:lang w:val="en-GB"/>
        </w:rPr>
        <w:t xml:space="preserve">or at the direction of </w:t>
      </w:r>
      <w:r w:rsidR="002D6A0B">
        <w:rPr>
          <w:sz w:val="22"/>
          <w:szCs w:val="22"/>
          <w:lang w:val="en-GB"/>
        </w:rPr>
        <w:t xml:space="preserve">the Russian Federation, </w:t>
      </w:r>
      <w:r w:rsidR="005F4E56">
        <w:rPr>
          <w:sz w:val="22"/>
          <w:szCs w:val="22"/>
          <w:lang w:val="en-GB"/>
        </w:rPr>
        <w:t>provi</w:t>
      </w:r>
      <w:r w:rsidR="00C522E0">
        <w:rPr>
          <w:sz w:val="22"/>
          <w:szCs w:val="22"/>
          <w:lang w:val="en-GB"/>
        </w:rPr>
        <w:t>de</w:t>
      </w:r>
      <w:r w:rsidR="005F4E56">
        <w:rPr>
          <w:sz w:val="22"/>
          <w:szCs w:val="22"/>
          <w:lang w:val="en-GB"/>
        </w:rPr>
        <w:t xml:space="preserve"> humanitarian assistance, </w:t>
      </w:r>
      <w:r w:rsidR="00536DA3">
        <w:rPr>
          <w:sz w:val="22"/>
          <w:szCs w:val="22"/>
          <w:lang w:val="en-GB"/>
        </w:rPr>
        <w:t xml:space="preserve">assist the peace process </w:t>
      </w:r>
      <w:r w:rsidR="00C522E0">
        <w:rPr>
          <w:sz w:val="22"/>
          <w:szCs w:val="22"/>
          <w:lang w:val="en-GB"/>
        </w:rPr>
        <w:t xml:space="preserve">in </w:t>
      </w:r>
      <w:r w:rsidR="00536DA3">
        <w:rPr>
          <w:sz w:val="22"/>
          <w:szCs w:val="22"/>
          <w:lang w:val="en-GB"/>
        </w:rPr>
        <w:t>resolv</w:t>
      </w:r>
      <w:r w:rsidR="00C522E0">
        <w:rPr>
          <w:sz w:val="22"/>
          <w:szCs w:val="22"/>
          <w:lang w:val="en-GB"/>
        </w:rPr>
        <w:t>ing</w:t>
      </w:r>
      <w:r w:rsidR="00536DA3">
        <w:rPr>
          <w:sz w:val="22"/>
          <w:szCs w:val="22"/>
          <w:lang w:val="en-GB"/>
        </w:rPr>
        <w:t xml:space="preserve"> </w:t>
      </w:r>
      <w:r w:rsidR="00C522E0">
        <w:rPr>
          <w:sz w:val="22"/>
          <w:szCs w:val="22"/>
          <w:lang w:val="en-GB"/>
        </w:rPr>
        <w:t>the</w:t>
      </w:r>
      <w:r w:rsidR="00536DA3">
        <w:rPr>
          <w:sz w:val="22"/>
          <w:szCs w:val="22"/>
          <w:lang w:val="en-GB"/>
        </w:rPr>
        <w:t xml:space="preserve"> conflict</w:t>
      </w:r>
      <w:r w:rsidR="00C522E0">
        <w:rPr>
          <w:sz w:val="22"/>
          <w:szCs w:val="22"/>
          <w:lang w:val="en-GB"/>
        </w:rPr>
        <w:t xml:space="preserve"> between the Ukraine and the Russian Federation</w:t>
      </w:r>
      <w:r w:rsidR="00536DA3">
        <w:rPr>
          <w:sz w:val="22"/>
          <w:szCs w:val="22"/>
          <w:lang w:val="en-GB"/>
        </w:rPr>
        <w:t xml:space="preserve">, and </w:t>
      </w:r>
      <w:r w:rsidR="00C522E0">
        <w:rPr>
          <w:sz w:val="22"/>
          <w:szCs w:val="22"/>
          <w:lang w:val="en-GB"/>
        </w:rPr>
        <w:t xml:space="preserve">to </w:t>
      </w:r>
      <w:r w:rsidR="00536DA3">
        <w:rPr>
          <w:sz w:val="22"/>
          <w:szCs w:val="22"/>
          <w:lang w:val="en-GB"/>
        </w:rPr>
        <w:t xml:space="preserve">guide </w:t>
      </w:r>
      <w:r w:rsidR="00C522E0">
        <w:rPr>
          <w:sz w:val="22"/>
          <w:szCs w:val="22"/>
          <w:lang w:val="en-GB"/>
        </w:rPr>
        <w:t>the</w:t>
      </w:r>
      <w:r w:rsidR="00536DA3">
        <w:rPr>
          <w:sz w:val="22"/>
          <w:szCs w:val="22"/>
          <w:lang w:val="en-GB"/>
        </w:rPr>
        <w:t xml:space="preserve"> technical, logistical and security aspects of the situation</w:t>
      </w:r>
      <w:r w:rsidR="00C522E0">
        <w:rPr>
          <w:sz w:val="22"/>
          <w:szCs w:val="22"/>
          <w:lang w:val="en-GB"/>
        </w:rPr>
        <w:t>.</w:t>
      </w:r>
      <w:r w:rsidR="00536DA3">
        <w:rPr>
          <w:sz w:val="22"/>
          <w:szCs w:val="22"/>
          <w:lang w:val="en-GB"/>
        </w:rPr>
        <w:t xml:space="preserve"> </w:t>
      </w:r>
      <w:r w:rsidR="00C522E0">
        <w:rPr>
          <w:sz w:val="22"/>
          <w:szCs w:val="22"/>
          <w:lang w:val="en-GB"/>
        </w:rPr>
        <w:t>G</w:t>
      </w:r>
      <w:r w:rsidR="00536DA3">
        <w:rPr>
          <w:sz w:val="22"/>
          <w:szCs w:val="22"/>
          <w:lang w:val="en-GB"/>
        </w:rPr>
        <w:t xml:space="preserve">iven the urgent circumstances of the situation, the peacekeeping mission will consist of a military component of up to 25,000 troops of all ranks, </w:t>
      </w:r>
      <w:r w:rsidR="002D6A0B">
        <w:rPr>
          <w:sz w:val="22"/>
          <w:szCs w:val="22"/>
          <w:lang w:val="en-GB"/>
        </w:rPr>
        <w:t>and a police component of up to 5,000</w:t>
      </w:r>
      <w:r w:rsidR="00A93CB7">
        <w:rPr>
          <w:sz w:val="22"/>
          <w:szCs w:val="22"/>
          <w:lang w:val="en-GB"/>
        </w:rPr>
        <w:t xml:space="preserve"> officers</w:t>
      </w:r>
      <w:r w:rsidR="002D6A0B">
        <w:rPr>
          <w:sz w:val="22"/>
          <w:szCs w:val="22"/>
          <w:lang w:val="en-GB"/>
        </w:rPr>
        <w:t>;</w:t>
      </w:r>
    </w:p>
    <w:p w14:paraId="1B12B888" w14:textId="77777777" w:rsidR="00A93CB7" w:rsidRDefault="00A93CB7" w:rsidP="001A2707">
      <w:pPr>
        <w:pStyle w:val="ListParagraph"/>
        <w:spacing w:after="240" w:line="276" w:lineRule="auto"/>
        <w:ind w:left="-360" w:right="-720"/>
        <w:jc w:val="both"/>
        <w:rPr>
          <w:sz w:val="22"/>
          <w:szCs w:val="22"/>
          <w:lang w:val="en-GB"/>
        </w:rPr>
      </w:pPr>
    </w:p>
    <w:p w14:paraId="6952F865" w14:textId="17E5AF8C" w:rsidR="005F1C11" w:rsidRDefault="00E37910" w:rsidP="002D6A0B">
      <w:pPr>
        <w:pStyle w:val="ListParagraph"/>
        <w:numPr>
          <w:ilvl w:val="0"/>
          <w:numId w:val="2"/>
        </w:numPr>
        <w:spacing w:after="240" w:line="276" w:lineRule="auto"/>
        <w:ind w:right="-720"/>
        <w:jc w:val="both"/>
        <w:rPr>
          <w:sz w:val="22"/>
          <w:szCs w:val="22"/>
          <w:lang w:val="en-GB"/>
        </w:rPr>
      </w:pPr>
      <w:r>
        <w:rPr>
          <w:i/>
          <w:sz w:val="22"/>
          <w:szCs w:val="22"/>
          <w:lang w:val="en-GB"/>
        </w:rPr>
        <w:t xml:space="preserve">Requires </w:t>
      </w:r>
      <w:r w:rsidRPr="00C01AF3">
        <w:rPr>
          <w:sz w:val="22"/>
          <w:szCs w:val="22"/>
          <w:lang w:val="en-GB"/>
        </w:rPr>
        <w:t>the</w:t>
      </w:r>
      <w:r w:rsidR="009A59A5" w:rsidRPr="00C01AF3">
        <w:rPr>
          <w:sz w:val="22"/>
          <w:szCs w:val="22"/>
          <w:lang w:val="en-GB"/>
        </w:rPr>
        <w:t xml:space="preserve"> c</w:t>
      </w:r>
      <w:r w:rsidR="009A59A5">
        <w:rPr>
          <w:sz w:val="22"/>
          <w:szCs w:val="22"/>
          <w:lang w:val="en-GB"/>
        </w:rPr>
        <w:t>ontinue</w:t>
      </w:r>
      <w:r w:rsidR="00A93CB7">
        <w:rPr>
          <w:sz w:val="22"/>
          <w:szCs w:val="22"/>
          <w:lang w:val="en-GB"/>
        </w:rPr>
        <w:t>d</w:t>
      </w:r>
      <w:r w:rsidR="009A59A5">
        <w:rPr>
          <w:sz w:val="22"/>
          <w:szCs w:val="22"/>
          <w:lang w:val="en-GB"/>
        </w:rPr>
        <w:t xml:space="preserve"> strict implement</w:t>
      </w:r>
      <w:r w:rsidR="00A93CB7">
        <w:rPr>
          <w:sz w:val="22"/>
          <w:szCs w:val="22"/>
          <w:lang w:val="en-GB"/>
        </w:rPr>
        <w:t>ation of</w:t>
      </w:r>
      <w:r w:rsidR="009A59A5">
        <w:rPr>
          <w:sz w:val="22"/>
          <w:szCs w:val="22"/>
          <w:lang w:val="en-GB"/>
        </w:rPr>
        <w:t xml:space="preserve"> the United Nations Global Compact’s ten principles to the </w:t>
      </w:r>
      <w:r w:rsidR="0009377B">
        <w:rPr>
          <w:sz w:val="22"/>
          <w:szCs w:val="22"/>
          <w:lang w:val="en-GB"/>
        </w:rPr>
        <w:t>Society for Worldwide Interbank Financial Telecommunication (</w:t>
      </w:r>
      <w:r w:rsidR="00BD237E">
        <w:rPr>
          <w:sz w:val="22"/>
          <w:szCs w:val="22"/>
          <w:lang w:val="en-GB"/>
        </w:rPr>
        <w:t>“</w:t>
      </w:r>
      <w:r w:rsidR="0009377B">
        <w:rPr>
          <w:sz w:val="22"/>
          <w:szCs w:val="22"/>
          <w:lang w:val="en-GB"/>
        </w:rPr>
        <w:t>SWIFT</w:t>
      </w:r>
      <w:r w:rsidR="00BD237E">
        <w:rPr>
          <w:sz w:val="22"/>
          <w:szCs w:val="22"/>
          <w:lang w:val="en-GB"/>
        </w:rPr>
        <w:t>”</w:t>
      </w:r>
      <w:r w:rsidR="0009377B">
        <w:rPr>
          <w:sz w:val="22"/>
          <w:szCs w:val="22"/>
          <w:lang w:val="en-GB"/>
        </w:rPr>
        <w:t>), a network that enables financial institutions worldwide to send and receive information ab</w:t>
      </w:r>
      <w:r w:rsidR="00E213A5">
        <w:rPr>
          <w:sz w:val="22"/>
          <w:szCs w:val="22"/>
          <w:lang w:val="en-GB"/>
        </w:rPr>
        <w:t>out financial transactions</w:t>
      </w:r>
      <w:r w:rsidR="00A93CB7">
        <w:rPr>
          <w:sz w:val="22"/>
          <w:szCs w:val="22"/>
          <w:lang w:val="en-GB"/>
        </w:rPr>
        <w:t>;</w:t>
      </w:r>
      <w:r w:rsidR="00E213A5">
        <w:rPr>
          <w:sz w:val="22"/>
          <w:szCs w:val="22"/>
          <w:lang w:val="en-GB"/>
        </w:rPr>
        <w:t xml:space="preserve"> </w:t>
      </w:r>
      <w:r w:rsidR="00A93CB7">
        <w:rPr>
          <w:i/>
          <w:sz w:val="22"/>
          <w:szCs w:val="22"/>
          <w:lang w:val="en-GB"/>
        </w:rPr>
        <w:t xml:space="preserve">and further demands </w:t>
      </w:r>
      <w:r w:rsidR="00A93CB7">
        <w:rPr>
          <w:sz w:val="22"/>
          <w:szCs w:val="22"/>
          <w:lang w:val="en-GB"/>
        </w:rPr>
        <w:t>that pursuant to</w:t>
      </w:r>
      <w:r w:rsidR="00501F40">
        <w:rPr>
          <w:sz w:val="22"/>
          <w:szCs w:val="22"/>
          <w:lang w:val="en-GB"/>
        </w:rPr>
        <w:t xml:space="preserve"> </w:t>
      </w:r>
      <w:r w:rsidR="00A93CB7">
        <w:rPr>
          <w:sz w:val="22"/>
          <w:szCs w:val="22"/>
          <w:lang w:val="en-GB"/>
        </w:rPr>
        <w:t>P</w:t>
      </w:r>
      <w:r w:rsidR="00501F40">
        <w:rPr>
          <w:sz w:val="22"/>
          <w:szCs w:val="22"/>
          <w:lang w:val="en-GB"/>
        </w:rPr>
        <w:t>rinciple</w:t>
      </w:r>
      <w:r w:rsidR="00A93CB7">
        <w:rPr>
          <w:sz w:val="22"/>
          <w:szCs w:val="22"/>
          <w:lang w:val="en-GB"/>
        </w:rPr>
        <w:t>s</w:t>
      </w:r>
      <w:r w:rsidR="00501F40">
        <w:rPr>
          <w:sz w:val="22"/>
          <w:szCs w:val="22"/>
          <w:lang w:val="en-GB"/>
        </w:rPr>
        <w:t xml:space="preserve"> 1 and 2 that support the protection of internationally proclaimed human rights and </w:t>
      </w:r>
      <w:r w:rsidR="00C01AF3">
        <w:rPr>
          <w:sz w:val="22"/>
          <w:szCs w:val="22"/>
          <w:lang w:val="en-GB"/>
        </w:rPr>
        <w:t xml:space="preserve">that </w:t>
      </w:r>
      <w:r>
        <w:rPr>
          <w:sz w:val="22"/>
          <w:szCs w:val="22"/>
          <w:lang w:val="en-GB"/>
        </w:rPr>
        <w:t>abhor human</w:t>
      </w:r>
      <w:r w:rsidR="00501F40">
        <w:rPr>
          <w:sz w:val="22"/>
          <w:szCs w:val="22"/>
          <w:lang w:val="en-GB"/>
        </w:rPr>
        <w:t xml:space="preserve"> rights abuses, </w:t>
      </w:r>
      <w:r w:rsidR="00A93CB7">
        <w:rPr>
          <w:sz w:val="22"/>
          <w:szCs w:val="22"/>
          <w:lang w:val="en-GB"/>
        </w:rPr>
        <w:t xml:space="preserve"> that SWIFT immediately prohibit the Russian Federation, and any other State or party acting at the direction of the Russian Federation (collectively “Russian Federation”), from having any access to SWIFT’s networks or services, and all States shall take any actions necessary to effectuate this denial of service to the Russian Federation, and such denial of service</w:t>
      </w:r>
      <w:r w:rsidR="00AB4DAB">
        <w:rPr>
          <w:sz w:val="22"/>
          <w:szCs w:val="22"/>
          <w:lang w:val="en-GB"/>
        </w:rPr>
        <w:t xml:space="preserve"> shall continue until the Russian Federation (i) ceases to directly or indirectly provide arms and ammunition, military equipment and military support services to rebels in eastern Ukraine as confirmed by the Secretary-General, and (ii) enters into a mutual written resolution of this conflict with the Ukraine and such resolution is transmitted to the Secretary-General;</w:t>
      </w:r>
    </w:p>
    <w:p w14:paraId="027F8AE7" w14:textId="77777777" w:rsidR="00AB4DAB" w:rsidRDefault="00AB4DAB" w:rsidP="001A2707">
      <w:pPr>
        <w:pStyle w:val="ListParagraph"/>
        <w:spacing w:after="240" w:line="276" w:lineRule="auto"/>
        <w:ind w:left="-360" w:right="-720"/>
        <w:jc w:val="both"/>
        <w:rPr>
          <w:sz w:val="22"/>
          <w:szCs w:val="22"/>
          <w:lang w:val="en-GB"/>
        </w:rPr>
      </w:pPr>
    </w:p>
    <w:p w14:paraId="5A2CBFCC" w14:textId="0F44821F" w:rsidR="000E1B4F" w:rsidRPr="00B85EBE" w:rsidRDefault="00243DE8" w:rsidP="00B85EBE">
      <w:pPr>
        <w:pStyle w:val="ListParagraph"/>
        <w:numPr>
          <w:ilvl w:val="0"/>
          <w:numId w:val="2"/>
        </w:numPr>
        <w:spacing w:after="240" w:line="276" w:lineRule="auto"/>
        <w:ind w:right="-720"/>
        <w:jc w:val="both"/>
        <w:rPr>
          <w:sz w:val="22"/>
          <w:szCs w:val="22"/>
          <w:lang w:val="en-GB"/>
        </w:rPr>
      </w:pPr>
      <w:r w:rsidRPr="002D6A0B">
        <w:rPr>
          <w:i/>
          <w:sz w:val="22"/>
          <w:szCs w:val="22"/>
          <w:lang w:val="en-GB"/>
        </w:rPr>
        <w:t>Calls upon</w:t>
      </w:r>
      <w:r w:rsidRPr="002D6A0B">
        <w:rPr>
          <w:sz w:val="22"/>
          <w:szCs w:val="22"/>
          <w:lang w:val="en-GB"/>
        </w:rPr>
        <w:t xml:space="preserve"> </w:t>
      </w:r>
      <w:r w:rsidR="00AB4DAB">
        <w:rPr>
          <w:sz w:val="22"/>
          <w:szCs w:val="22"/>
          <w:lang w:val="en-GB"/>
        </w:rPr>
        <w:t>the Russian Federation, the Ukraine and other involved</w:t>
      </w:r>
      <w:r w:rsidRPr="002D6A0B">
        <w:rPr>
          <w:sz w:val="22"/>
          <w:szCs w:val="22"/>
          <w:lang w:val="en-GB"/>
        </w:rPr>
        <w:t xml:space="preserve"> States to seek an immediate peaceful resolution of the situation </w:t>
      </w:r>
      <w:r w:rsidR="00AB4DAB">
        <w:rPr>
          <w:sz w:val="22"/>
          <w:szCs w:val="22"/>
          <w:lang w:val="en-GB"/>
        </w:rPr>
        <w:t>in the</w:t>
      </w:r>
      <w:r w:rsidRPr="002D6A0B">
        <w:rPr>
          <w:sz w:val="22"/>
          <w:szCs w:val="22"/>
          <w:lang w:val="en-GB"/>
        </w:rPr>
        <w:t xml:space="preserve"> Ukraine through </w:t>
      </w:r>
      <w:r w:rsidR="00E36636" w:rsidRPr="002D6A0B">
        <w:rPr>
          <w:sz w:val="22"/>
          <w:szCs w:val="22"/>
          <w:lang w:val="en-GB"/>
        </w:rPr>
        <w:t xml:space="preserve">undeviating </w:t>
      </w:r>
      <w:r w:rsidR="00AB4DAB">
        <w:rPr>
          <w:sz w:val="22"/>
          <w:szCs w:val="22"/>
          <w:lang w:val="en-GB"/>
        </w:rPr>
        <w:t>diplomatic</w:t>
      </w:r>
      <w:r w:rsidR="00E36636" w:rsidRPr="002D6A0B">
        <w:rPr>
          <w:sz w:val="22"/>
          <w:szCs w:val="22"/>
          <w:lang w:val="en-GB"/>
        </w:rPr>
        <w:t xml:space="preserve"> dialogue,  and to fully engage with </w:t>
      </w:r>
      <w:r w:rsidR="00F168DF" w:rsidRPr="002D6A0B">
        <w:rPr>
          <w:sz w:val="22"/>
          <w:szCs w:val="22"/>
          <w:lang w:val="en-GB"/>
        </w:rPr>
        <w:t>international mediation efforts</w:t>
      </w:r>
      <w:r w:rsidR="00AB4DAB">
        <w:rPr>
          <w:sz w:val="22"/>
          <w:szCs w:val="22"/>
          <w:lang w:val="en-GB"/>
        </w:rPr>
        <w:t xml:space="preserve"> in order to achieve such resolution through consensus</w:t>
      </w:r>
      <w:r w:rsidR="00F168DF" w:rsidRPr="002D6A0B">
        <w:rPr>
          <w:sz w:val="22"/>
          <w:szCs w:val="22"/>
          <w:lang w:val="en-GB"/>
        </w:rPr>
        <w:t>;</w:t>
      </w:r>
    </w:p>
    <w:p w14:paraId="7583BE69" w14:textId="77777777" w:rsidR="000E1B4F" w:rsidRPr="000E1B4F" w:rsidRDefault="000E1B4F" w:rsidP="000E1B4F">
      <w:pPr>
        <w:pStyle w:val="ListParagraph"/>
        <w:spacing w:after="240" w:line="276" w:lineRule="auto"/>
        <w:ind w:left="-360" w:right="-720"/>
        <w:jc w:val="both"/>
        <w:rPr>
          <w:sz w:val="22"/>
          <w:szCs w:val="22"/>
          <w:lang w:val="en-GB"/>
        </w:rPr>
      </w:pPr>
    </w:p>
    <w:p w14:paraId="1B852F89" w14:textId="763BF3C7" w:rsidR="00E36636" w:rsidRDefault="00727725" w:rsidP="00B9408C">
      <w:pPr>
        <w:pStyle w:val="ListParagraph"/>
        <w:numPr>
          <w:ilvl w:val="0"/>
          <w:numId w:val="2"/>
        </w:numPr>
        <w:spacing w:after="240" w:line="276" w:lineRule="auto"/>
        <w:ind w:right="-720"/>
        <w:jc w:val="both"/>
        <w:rPr>
          <w:sz w:val="22"/>
          <w:szCs w:val="22"/>
          <w:lang w:val="en-GB"/>
        </w:rPr>
      </w:pPr>
      <w:r>
        <w:rPr>
          <w:i/>
          <w:sz w:val="22"/>
          <w:szCs w:val="22"/>
          <w:lang w:val="en-GB"/>
        </w:rPr>
        <w:t xml:space="preserve">Urges </w:t>
      </w:r>
      <w:r>
        <w:rPr>
          <w:sz w:val="22"/>
          <w:szCs w:val="22"/>
          <w:lang w:val="en-GB"/>
        </w:rPr>
        <w:t>the continuation of humanitarian aid</w:t>
      </w:r>
      <w:r w:rsidR="00B9408C">
        <w:rPr>
          <w:sz w:val="22"/>
          <w:szCs w:val="22"/>
          <w:lang w:val="en-GB"/>
        </w:rPr>
        <w:t xml:space="preserve"> by the United Nations Development Programme (</w:t>
      </w:r>
      <w:r w:rsidR="00C01AF3">
        <w:rPr>
          <w:sz w:val="22"/>
          <w:szCs w:val="22"/>
          <w:lang w:val="en-GB"/>
        </w:rPr>
        <w:t>“</w:t>
      </w:r>
      <w:r w:rsidR="00B9408C">
        <w:rPr>
          <w:sz w:val="22"/>
          <w:szCs w:val="22"/>
          <w:lang w:val="en-GB"/>
        </w:rPr>
        <w:t>UNDP</w:t>
      </w:r>
      <w:r w:rsidR="00C01AF3">
        <w:rPr>
          <w:sz w:val="22"/>
          <w:szCs w:val="22"/>
          <w:lang w:val="en-GB"/>
        </w:rPr>
        <w:t>”</w:t>
      </w:r>
      <w:r w:rsidR="00B9408C">
        <w:rPr>
          <w:sz w:val="22"/>
          <w:szCs w:val="22"/>
          <w:lang w:val="en-GB"/>
        </w:rPr>
        <w:t>)</w:t>
      </w:r>
      <w:r>
        <w:rPr>
          <w:sz w:val="22"/>
          <w:szCs w:val="22"/>
          <w:lang w:val="en-GB"/>
        </w:rPr>
        <w:t xml:space="preserve"> to IDPs as well as other vulnerable citizens trapped by the ongoin</w:t>
      </w:r>
      <w:r w:rsidR="00B9408C">
        <w:rPr>
          <w:sz w:val="22"/>
          <w:szCs w:val="22"/>
          <w:lang w:val="en-GB"/>
        </w:rPr>
        <w:t>g hostilities, specifically targeting the elderly, orphans, pregnant women, families with children and people with disabilit</w:t>
      </w:r>
      <w:r w:rsidR="00884C8A">
        <w:rPr>
          <w:sz w:val="22"/>
          <w:szCs w:val="22"/>
          <w:lang w:val="en-GB"/>
        </w:rPr>
        <w:t>ies</w:t>
      </w:r>
      <w:r w:rsidR="00E703AC">
        <w:rPr>
          <w:sz w:val="22"/>
          <w:szCs w:val="22"/>
          <w:lang w:val="en-GB"/>
        </w:rPr>
        <w:t xml:space="preserve"> in </w:t>
      </w:r>
      <w:r w:rsidR="00F35559">
        <w:rPr>
          <w:sz w:val="22"/>
          <w:szCs w:val="22"/>
          <w:lang w:val="en-GB"/>
        </w:rPr>
        <w:t>e</w:t>
      </w:r>
      <w:r w:rsidR="00E703AC">
        <w:rPr>
          <w:sz w:val="22"/>
          <w:szCs w:val="22"/>
          <w:lang w:val="en-GB"/>
        </w:rPr>
        <w:t>astern Ukraine</w:t>
      </w:r>
      <w:r w:rsidR="00F168DF">
        <w:rPr>
          <w:sz w:val="22"/>
          <w:szCs w:val="22"/>
          <w:lang w:val="en-GB"/>
        </w:rPr>
        <w:t>;</w:t>
      </w:r>
    </w:p>
    <w:p w14:paraId="2CDDBA71" w14:textId="77777777" w:rsidR="00F35559" w:rsidRPr="00243DE8" w:rsidRDefault="00F35559" w:rsidP="001A2707">
      <w:pPr>
        <w:pStyle w:val="ListParagraph"/>
        <w:spacing w:after="240" w:line="276" w:lineRule="auto"/>
        <w:ind w:left="-360" w:right="-720"/>
        <w:jc w:val="both"/>
        <w:rPr>
          <w:sz w:val="22"/>
          <w:szCs w:val="22"/>
          <w:lang w:val="en-GB"/>
        </w:rPr>
      </w:pPr>
    </w:p>
    <w:p w14:paraId="3F81DEA5" w14:textId="1CB7914F" w:rsidR="00243DE8" w:rsidRDefault="0083788B" w:rsidP="0046781B">
      <w:pPr>
        <w:pStyle w:val="ListParagraph"/>
        <w:numPr>
          <w:ilvl w:val="0"/>
          <w:numId w:val="2"/>
        </w:numPr>
        <w:spacing w:after="240" w:line="276" w:lineRule="auto"/>
        <w:ind w:right="-720"/>
        <w:jc w:val="both"/>
        <w:rPr>
          <w:sz w:val="22"/>
          <w:szCs w:val="22"/>
          <w:lang w:val="en-GB"/>
        </w:rPr>
      </w:pPr>
      <w:r>
        <w:rPr>
          <w:i/>
          <w:sz w:val="22"/>
          <w:szCs w:val="22"/>
          <w:lang w:val="en-GB"/>
        </w:rPr>
        <w:t xml:space="preserve">Welcomes </w:t>
      </w:r>
      <w:r w:rsidR="0046781B">
        <w:rPr>
          <w:sz w:val="22"/>
          <w:szCs w:val="22"/>
          <w:lang w:val="en-GB"/>
        </w:rPr>
        <w:t>the</w:t>
      </w:r>
      <w:r w:rsidR="00ED4EAA">
        <w:rPr>
          <w:sz w:val="22"/>
          <w:szCs w:val="22"/>
          <w:lang w:val="en-GB"/>
        </w:rPr>
        <w:t xml:space="preserve"> </w:t>
      </w:r>
      <w:r w:rsidR="00F168DF">
        <w:rPr>
          <w:sz w:val="22"/>
          <w:szCs w:val="22"/>
          <w:lang w:val="en-GB"/>
        </w:rPr>
        <w:t xml:space="preserve">efforts of the </w:t>
      </w:r>
      <w:r w:rsidR="00F35559">
        <w:rPr>
          <w:sz w:val="22"/>
          <w:szCs w:val="22"/>
          <w:lang w:val="en-GB"/>
        </w:rPr>
        <w:t>OSCE</w:t>
      </w:r>
      <w:r w:rsidR="00F168DF">
        <w:rPr>
          <w:sz w:val="22"/>
          <w:szCs w:val="22"/>
          <w:lang w:val="en-GB"/>
        </w:rPr>
        <w:t xml:space="preserve"> and other international and regional organization</w:t>
      </w:r>
      <w:r w:rsidR="00F35559">
        <w:rPr>
          <w:sz w:val="22"/>
          <w:szCs w:val="22"/>
          <w:lang w:val="en-GB"/>
        </w:rPr>
        <w:t>s</w:t>
      </w:r>
      <w:r w:rsidR="00F168DF">
        <w:rPr>
          <w:sz w:val="22"/>
          <w:szCs w:val="22"/>
          <w:lang w:val="en-GB"/>
        </w:rPr>
        <w:t xml:space="preserve"> to assist Ukraine in protecting the rights of all persons in </w:t>
      </w:r>
      <w:r w:rsidR="00F35559">
        <w:rPr>
          <w:sz w:val="22"/>
          <w:szCs w:val="22"/>
          <w:lang w:val="en-GB"/>
        </w:rPr>
        <w:t xml:space="preserve">the </w:t>
      </w:r>
      <w:r w:rsidR="00F168DF">
        <w:rPr>
          <w:sz w:val="22"/>
          <w:szCs w:val="22"/>
          <w:lang w:val="en-GB"/>
        </w:rPr>
        <w:t>Ukraine, including those who belong to minorities;</w:t>
      </w:r>
    </w:p>
    <w:p w14:paraId="42CD9E67" w14:textId="77777777" w:rsidR="00F35559" w:rsidRDefault="00F35559" w:rsidP="001A2707">
      <w:pPr>
        <w:pStyle w:val="ListParagraph"/>
        <w:spacing w:after="240" w:line="276" w:lineRule="auto"/>
        <w:ind w:left="-360" w:right="-720"/>
        <w:jc w:val="both"/>
        <w:rPr>
          <w:sz w:val="22"/>
          <w:szCs w:val="22"/>
          <w:lang w:val="en-GB"/>
        </w:rPr>
      </w:pPr>
    </w:p>
    <w:p w14:paraId="5070F0CC" w14:textId="34E21D13" w:rsidR="00C456A0" w:rsidRPr="004669D1" w:rsidRDefault="004669D1" w:rsidP="004669D1">
      <w:pPr>
        <w:pStyle w:val="ListParagraph"/>
        <w:numPr>
          <w:ilvl w:val="0"/>
          <w:numId w:val="2"/>
        </w:numPr>
        <w:spacing w:after="240" w:line="276" w:lineRule="auto"/>
        <w:ind w:right="-720"/>
        <w:jc w:val="both"/>
        <w:rPr>
          <w:sz w:val="22"/>
          <w:szCs w:val="22"/>
          <w:lang w:val="en-GB"/>
        </w:rPr>
      </w:pPr>
      <w:r>
        <w:rPr>
          <w:i/>
          <w:sz w:val="22"/>
          <w:szCs w:val="22"/>
          <w:lang w:val="en-GB"/>
        </w:rPr>
        <w:t xml:space="preserve">Strongly </w:t>
      </w:r>
      <w:r w:rsidR="00F35559">
        <w:rPr>
          <w:i/>
          <w:sz w:val="22"/>
          <w:szCs w:val="22"/>
          <w:lang w:val="en-GB"/>
        </w:rPr>
        <w:t>recommends</w:t>
      </w:r>
      <w:r>
        <w:rPr>
          <w:i/>
          <w:sz w:val="22"/>
          <w:szCs w:val="22"/>
          <w:lang w:val="en-GB"/>
        </w:rPr>
        <w:t xml:space="preserve"> </w:t>
      </w:r>
      <w:r>
        <w:rPr>
          <w:sz w:val="22"/>
          <w:szCs w:val="22"/>
          <w:lang w:val="en-GB"/>
        </w:rPr>
        <w:t>a comprehensive human rights plan</w:t>
      </w:r>
      <w:r w:rsidR="00F35559">
        <w:rPr>
          <w:sz w:val="22"/>
          <w:szCs w:val="22"/>
          <w:lang w:val="en-GB"/>
        </w:rPr>
        <w:t xml:space="preserve"> be implemented in the Ukraine</w:t>
      </w:r>
      <w:r>
        <w:rPr>
          <w:sz w:val="22"/>
          <w:szCs w:val="22"/>
          <w:lang w:val="en-GB"/>
        </w:rPr>
        <w:t xml:space="preserve">, reflecting </w:t>
      </w:r>
      <w:r w:rsidR="00F35559">
        <w:rPr>
          <w:sz w:val="22"/>
          <w:szCs w:val="22"/>
          <w:lang w:val="en-GB"/>
        </w:rPr>
        <w:t>suggestions</w:t>
      </w:r>
      <w:r>
        <w:rPr>
          <w:sz w:val="22"/>
          <w:szCs w:val="22"/>
          <w:lang w:val="en-GB"/>
        </w:rPr>
        <w:t xml:space="preserve"> from international and regional mechanisms in order to become an integral part of the reform agenda of </w:t>
      </w:r>
      <w:r w:rsidR="00F35559">
        <w:rPr>
          <w:sz w:val="22"/>
          <w:szCs w:val="22"/>
          <w:lang w:val="en-GB"/>
        </w:rPr>
        <w:t xml:space="preserve">the </w:t>
      </w:r>
      <w:r w:rsidR="00E37910">
        <w:rPr>
          <w:sz w:val="22"/>
          <w:szCs w:val="22"/>
          <w:lang w:val="en-GB"/>
        </w:rPr>
        <w:t>Ukrainian</w:t>
      </w:r>
      <w:r w:rsidR="00F35559">
        <w:rPr>
          <w:sz w:val="22"/>
          <w:szCs w:val="22"/>
          <w:lang w:val="en-GB"/>
        </w:rPr>
        <w:t xml:space="preserve"> government</w:t>
      </w:r>
      <w:r>
        <w:rPr>
          <w:sz w:val="22"/>
          <w:szCs w:val="22"/>
          <w:lang w:val="en-GB"/>
        </w:rPr>
        <w:t xml:space="preserve"> to ensure the respect for human rights, good governance and the rule of law in order to achieve peace, security and economic and social development.</w:t>
      </w:r>
    </w:p>
    <w:p w14:paraId="17D2A64B" w14:textId="77777777" w:rsidR="00C456A0" w:rsidRPr="00B723B2" w:rsidRDefault="00C456A0" w:rsidP="00C456A0">
      <w:pPr>
        <w:pStyle w:val="ListParagraph"/>
        <w:spacing w:after="240" w:line="276" w:lineRule="auto"/>
        <w:ind w:left="0" w:right="-720"/>
        <w:jc w:val="both"/>
        <w:rPr>
          <w:sz w:val="22"/>
          <w:szCs w:val="22"/>
          <w:lang w:val="en-GB"/>
        </w:rPr>
      </w:pPr>
    </w:p>
    <w:p w14:paraId="505DA714" w14:textId="77777777" w:rsidR="00B1770E" w:rsidRDefault="00B1770E"/>
    <w:sectPr w:rsidR="00B1770E" w:rsidSect="00B1770E">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21CFE1" w14:textId="77777777" w:rsidR="00501F40" w:rsidRDefault="00501F40" w:rsidP="00C456A0">
      <w:r>
        <w:separator/>
      </w:r>
    </w:p>
  </w:endnote>
  <w:endnote w:type="continuationSeparator" w:id="0">
    <w:p w14:paraId="3B85DF02" w14:textId="77777777" w:rsidR="00501F40" w:rsidRDefault="00501F40" w:rsidP="00C456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E7A4A1" w14:textId="77777777" w:rsidR="00501F40" w:rsidRDefault="00501F40" w:rsidP="00C456A0">
      <w:r>
        <w:separator/>
      </w:r>
    </w:p>
  </w:footnote>
  <w:footnote w:type="continuationSeparator" w:id="0">
    <w:p w14:paraId="7E707685" w14:textId="77777777" w:rsidR="00501F40" w:rsidRDefault="00501F40" w:rsidP="00C456A0">
      <w:r>
        <w:continuationSeparator/>
      </w:r>
    </w:p>
  </w:footnote>
  <w:footnote w:id="1">
    <w:p w14:paraId="0BE72965" w14:textId="11627AEA" w:rsidR="00501F40" w:rsidRDefault="00501F40">
      <w:pPr>
        <w:pStyle w:val="FootnoteText"/>
      </w:pPr>
      <w:r>
        <w:rPr>
          <w:rStyle w:val="FootnoteReference"/>
        </w:rPr>
        <w:footnoteRef/>
      </w:r>
      <w:r>
        <w:t xml:space="preserve"> This is a cautious estimate by the HRMMU and World Health Organization. It includes casualties among the Ukrainian armed forces as reported by the Ukrainian authorities; the 298 passengers from flight MH-17; and casualties reported by civil medical establishments </w:t>
      </w:r>
      <w:r w:rsidR="008D4569">
        <w:t>in</w:t>
      </w:r>
      <w:r w:rsidR="0033103D">
        <w:t xml:space="preserve"> the Donetsk and Lug</w:t>
      </w:r>
      <w:r>
        <w:t xml:space="preserve">ansk regions. The actual numbers of casualties are estimated to be much higher as many casualties are </w:t>
      </w:r>
      <w:r w:rsidR="008D4569">
        <w:t>believed to be</w:t>
      </w:r>
      <w:r>
        <w:t xml:space="preserve"> unreported.</w:t>
      </w:r>
    </w:p>
    <w:p w14:paraId="072C49D0" w14:textId="2D581BEE" w:rsidR="00501F40" w:rsidRPr="006C5244" w:rsidRDefault="00501F40">
      <w:pPr>
        <w:pStyle w:val="FootnoteText"/>
      </w:pPr>
      <w:r>
        <w:rPr>
          <w:vertAlign w:val="superscript"/>
        </w:rPr>
        <w:t>2</w:t>
      </w:r>
      <w:r w:rsidRPr="006C5244">
        <w:t xml:space="preserve"> </w:t>
      </w:r>
      <w:r>
        <w:t>The goal</w:t>
      </w:r>
      <w:r w:rsidR="008D4569">
        <w:t>s</w:t>
      </w:r>
      <w:r>
        <w:t xml:space="preserve"> of the Human Rights Monitoring Mission in Ukraine are to monitor the human rights situation in the country and provide regular, accurate and public reports to the High Commissioner on the human rights situation and upcoming concerns and risks.</w:t>
      </w:r>
    </w:p>
  </w:footnote>
  <w:footnote w:id="2">
    <w:p w14:paraId="162C3835" w14:textId="520216B4" w:rsidR="00501F40" w:rsidRDefault="00501F40">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111919"/>
    <w:multiLevelType w:val="hybridMultilevel"/>
    <w:tmpl w:val="095688A4"/>
    <w:lvl w:ilvl="0" w:tplc="40962502">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
    <w:nsid w:val="40A003D7"/>
    <w:multiLevelType w:val="hybridMultilevel"/>
    <w:tmpl w:val="F6301062"/>
    <w:lvl w:ilvl="0" w:tplc="A47A4C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394"/>
    <w:rsid w:val="000032A9"/>
    <w:rsid w:val="00013BEA"/>
    <w:rsid w:val="00015A3A"/>
    <w:rsid w:val="000203F4"/>
    <w:rsid w:val="00023C55"/>
    <w:rsid w:val="00030639"/>
    <w:rsid w:val="0003490B"/>
    <w:rsid w:val="00035589"/>
    <w:rsid w:val="00057587"/>
    <w:rsid w:val="000638B4"/>
    <w:rsid w:val="00086100"/>
    <w:rsid w:val="0009377B"/>
    <w:rsid w:val="000A3FC6"/>
    <w:rsid w:val="000A5B72"/>
    <w:rsid w:val="000E1B4F"/>
    <w:rsid w:val="0010001D"/>
    <w:rsid w:val="00113434"/>
    <w:rsid w:val="00150ABA"/>
    <w:rsid w:val="00165CD4"/>
    <w:rsid w:val="001A2707"/>
    <w:rsid w:val="001C5B52"/>
    <w:rsid w:val="001E0EB3"/>
    <w:rsid w:val="001E7806"/>
    <w:rsid w:val="00200BF7"/>
    <w:rsid w:val="00216361"/>
    <w:rsid w:val="00243DE8"/>
    <w:rsid w:val="002743D6"/>
    <w:rsid w:val="002C13A8"/>
    <w:rsid w:val="002D6A0B"/>
    <w:rsid w:val="00322C55"/>
    <w:rsid w:val="0033103D"/>
    <w:rsid w:val="00332618"/>
    <w:rsid w:val="00351CC1"/>
    <w:rsid w:val="00363F75"/>
    <w:rsid w:val="003764A0"/>
    <w:rsid w:val="00383429"/>
    <w:rsid w:val="004067BF"/>
    <w:rsid w:val="00445277"/>
    <w:rsid w:val="00454046"/>
    <w:rsid w:val="004669D1"/>
    <w:rsid w:val="0046781B"/>
    <w:rsid w:val="00467B98"/>
    <w:rsid w:val="0047637C"/>
    <w:rsid w:val="004832D3"/>
    <w:rsid w:val="00484B4F"/>
    <w:rsid w:val="00486C3F"/>
    <w:rsid w:val="004A6B84"/>
    <w:rsid w:val="004E3D77"/>
    <w:rsid w:val="004F0622"/>
    <w:rsid w:val="00501F40"/>
    <w:rsid w:val="00533760"/>
    <w:rsid w:val="00534445"/>
    <w:rsid w:val="00536A82"/>
    <w:rsid w:val="00536DA3"/>
    <w:rsid w:val="00587308"/>
    <w:rsid w:val="005B0799"/>
    <w:rsid w:val="005F1C11"/>
    <w:rsid w:val="005F4E56"/>
    <w:rsid w:val="006053F2"/>
    <w:rsid w:val="0062023E"/>
    <w:rsid w:val="00625508"/>
    <w:rsid w:val="00664939"/>
    <w:rsid w:val="00681043"/>
    <w:rsid w:val="00682B6B"/>
    <w:rsid w:val="00697AEB"/>
    <w:rsid w:val="006C5244"/>
    <w:rsid w:val="006D76F2"/>
    <w:rsid w:val="00720250"/>
    <w:rsid w:val="00727725"/>
    <w:rsid w:val="00786077"/>
    <w:rsid w:val="007A7B95"/>
    <w:rsid w:val="007B0B02"/>
    <w:rsid w:val="007F0394"/>
    <w:rsid w:val="00810CAD"/>
    <w:rsid w:val="00814651"/>
    <w:rsid w:val="0083788B"/>
    <w:rsid w:val="00854C6F"/>
    <w:rsid w:val="00884C8A"/>
    <w:rsid w:val="008A13F9"/>
    <w:rsid w:val="008A2793"/>
    <w:rsid w:val="008A4E53"/>
    <w:rsid w:val="008B44A4"/>
    <w:rsid w:val="008D4569"/>
    <w:rsid w:val="008E0521"/>
    <w:rsid w:val="009221F3"/>
    <w:rsid w:val="00946078"/>
    <w:rsid w:val="00997921"/>
    <w:rsid w:val="009A59A5"/>
    <w:rsid w:val="009C359A"/>
    <w:rsid w:val="009E66EB"/>
    <w:rsid w:val="00A8040D"/>
    <w:rsid w:val="00A93CB7"/>
    <w:rsid w:val="00AA7B1E"/>
    <w:rsid w:val="00AB4DAB"/>
    <w:rsid w:val="00B1770E"/>
    <w:rsid w:val="00B34AE8"/>
    <w:rsid w:val="00B46A58"/>
    <w:rsid w:val="00B558EF"/>
    <w:rsid w:val="00B74D09"/>
    <w:rsid w:val="00B85EBE"/>
    <w:rsid w:val="00B9408C"/>
    <w:rsid w:val="00BC2B6D"/>
    <w:rsid w:val="00BD237E"/>
    <w:rsid w:val="00BF32C7"/>
    <w:rsid w:val="00C01AF3"/>
    <w:rsid w:val="00C06855"/>
    <w:rsid w:val="00C1226B"/>
    <w:rsid w:val="00C2319F"/>
    <w:rsid w:val="00C37357"/>
    <w:rsid w:val="00C456A0"/>
    <w:rsid w:val="00C522E0"/>
    <w:rsid w:val="00CC188F"/>
    <w:rsid w:val="00CE0D1D"/>
    <w:rsid w:val="00CF5649"/>
    <w:rsid w:val="00CF5DC0"/>
    <w:rsid w:val="00D228DB"/>
    <w:rsid w:val="00D52582"/>
    <w:rsid w:val="00D751AF"/>
    <w:rsid w:val="00DF6DB7"/>
    <w:rsid w:val="00E213A5"/>
    <w:rsid w:val="00E23CDB"/>
    <w:rsid w:val="00E36636"/>
    <w:rsid w:val="00E37910"/>
    <w:rsid w:val="00E55E86"/>
    <w:rsid w:val="00E703AC"/>
    <w:rsid w:val="00E9377A"/>
    <w:rsid w:val="00EA15F1"/>
    <w:rsid w:val="00EB5C34"/>
    <w:rsid w:val="00ED4EAA"/>
    <w:rsid w:val="00F168DF"/>
    <w:rsid w:val="00F24BD3"/>
    <w:rsid w:val="00F35559"/>
    <w:rsid w:val="00F465BB"/>
    <w:rsid w:val="00F542DB"/>
    <w:rsid w:val="00F5657C"/>
    <w:rsid w:val="00F736D1"/>
    <w:rsid w:val="00F83CF1"/>
    <w:rsid w:val="00F92188"/>
    <w:rsid w:val="00F921EC"/>
    <w:rsid w:val="00FA1981"/>
    <w:rsid w:val="00FA56A8"/>
    <w:rsid w:val="00FE25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8"/>
    <o:shapelayout v:ext="edit">
      <o:idmap v:ext="edit" data="1"/>
    </o:shapelayout>
  </w:shapeDefaults>
  <w:decimalSymbol w:val="."/>
  <w:listSeparator w:val=","/>
  <w14:docId w14:val="6FA92A6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0394"/>
    <w:pPr>
      <w:widowControl w:val="0"/>
    </w:pPr>
    <w:rPr>
      <w:rFonts w:ascii="Times New Roman" w:eastAsia="Times New Roman" w:hAnsi="Times New Roman" w:cs="Times New Roman"/>
      <w:snapToGrid w:val="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0394"/>
    <w:rPr>
      <w:rFonts w:ascii="Lucida Grande" w:hAnsi="Lucida Grande"/>
      <w:sz w:val="18"/>
      <w:szCs w:val="18"/>
    </w:rPr>
  </w:style>
  <w:style w:type="character" w:customStyle="1" w:styleId="BalloonTextChar">
    <w:name w:val="Balloon Text Char"/>
    <w:basedOn w:val="DefaultParagraphFont"/>
    <w:link w:val="BalloonText"/>
    <w:uiPriority w:val="99"/>
    <w:semiHidden/>
    <w:rsid w:val="007F0394"/>
    <w:rPr>
      <w:rFonts w:ascii="Lucida Grande" w:eastAsia="Times New Roman" w:hAnsi="Lucida Grande" w:cs="Times New Roman"/>
      <w:snapToGrid w:val="0"/>
      <w:sz w:val="18"/>
      <w:szCs w:val="18"/>
    </w:rPr>
  </w:style>
  <w:style w:type="paragraph" w:styleId="ListParagraph">
    <w:name w:val="List Paragraph"/>
    <w:basedOn w:val="Normal"/>
    <w:uiPriority w:val="34"/>
    <w:qFormat/>
    <w:rsid w:val="00C456A0"/>
    <w:pPr>
      <w:ind w:left="720"/>
      <w:contextualSpacing/>
    </w:pPr>
  </w:style>
  <w:style w:type="paragraph" w:styleId="FootnoteText">
    <w:name w:val="footnote text"/>
    <w:basedOn w:val="Normal"/>
    <w:link w:val="FootnoteTextChar"/>
    <w:uiPriority w:val="99"/>
    <w:unhideWhenUsed/>
    <w:rsid w:val="00C456A0"/>
    <w:rPr>
      <w:sz w:val="20"/>
    </w:rPr>
  </w:style>
  <w:style w:type="character" w:customStyle="1" w:styleId="FootnoteTextChar">
    <w:name w:val="Footnote Text Char"/>
    <w:basedOn w:val="DefaultParagraphFont"/>
    <w:link w:val="FootnoteText"/>
    <w:uiPriority w:val="99"/>
    <w:rsid w:val="00C456A0"/>
    <w:rPr>
      <w:rFonts w:ascii="Times New Roman" w:eastAsia="Times New Roman" w:hAnsi="Times New Roman" w:cs="Times New Roman"/>
      <w:snapToGrid w:val="0"/>
      <w:sz w:val="20"/>
      <w:szCs w:val="20"/>
    </w:rPr>
  </w:style>
  <w:style w:type="character" w:styleId="FootnoteReference">
    <w:name w:val="footnote reference"/>
    <w:basedOn w:val="DefaultParagraphFont"/>
    <w:uiPriority w:val="99"/>
    <w:unhideWhenUsed/>
    <w:rsid w:val="00C456A0"/>
    <w:rPr>
      <w:vertAlign w:val="superscript"/>
    </w:rPr>
  </w:style>
  <w:style w:type="character" w:styleId="Hyperlink">
    <w:name w:val="Hyperlink"/>
    <w:basedOn w:val="DefaultParagraphFont"/>
    <w:uiPriority w:val="99"/>
    <w:semiHidden/>
    <w:unhideWhenUsed/>
    <w:rsid w:val="00501F4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0394"/>
    <w:pPr>
      <w:widowControl w:val="0"/>
    </w:pPr>
    <w:rPr>
      <w:rFonts w:ascii="Times New Roman" w:eastAsia="Times New Roman" w:hAnsi="Times New Roman" w:cs="Times New Roman"/>
      <w:snapToGrid w:val="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0394"/>
    <w:rPr>
      <w:rFonts w:ascii="Lucida Grande" w:hAnsi="Lucida Grande"/>
      <w:sz w:val="18"/>
      <w:szCs w:val="18"/>
    </w:rPr>
  </w:style>
  <w:style w:type="character" w:customStyle="1" w:styleId="BalloonTextChar">
    <w:name w:val="Balloon Text Char"/>
    <w:basedOn w:val="DefaultParagraphFont"/>
    <w:link w:val="BalloonText"/>
    <w:uiPriority w:val="99"/>
    <w:semiHidden/>
    <w:rsid w:val="007F0394"/>
    <w:rPr>
      <w:rFonts w:ascii="Lucida Grande" w:eastAsia="Times New Roman" w:hAnsi="Lucida Grande" w:cs="Times New Roman"/>
      <w:snapToGrid w:val="0"/>
      <w:sz w:val="18"/>
      <w:szCs w:val="18"/>
    </w:rPr>
  </w:style>
  <w:style w:type="paragraph" w:styleId="ListParagraph">
    <w:name w:val="List Paragraph"/>
    <w:basedOn w:val="Normal"/>
    <w:uiPriority w:val="34"/>
    <w:qFormat/>
    <w:rsid w:val="00C456A0"/>
    <w:pPr>
      <w:ind w:left="720"/>
      <w:contextualSpacing/>
    </w:pPr>
  </w:style>
  <w:style w:type="paragraph" w:styleId="FootnoteText">
    <w:name w:val="footnote text"/>
    <w:basedOn w:val="Normal"/>
    <w:link w:val="FootnoteTextChar"/>
    <w:uiPriority w:val="99"/>
    <w:unhideWhenUsed/>
    <w:rsid w:val="00C456A0"/>
    <w:rPr>
      <w:sz w:val="20"/>
    </w:rPr>
  </w:style>
  <w:style w:type="character" w:customStyle="1" w:styleId="FootnoteTextChar">
    <w:name w:val="Footnote Text Char"/>
    <w:basedOn w:val="DefaultParagraphFont"/>
    <w:link w:val="FootnoteText"/>
    <w:uiPriority w:val="99"/>
    <w:rsid w:val="00C456A0"/>
    <w:rPr>
      <w:rFonts w:ascii="Times New Roman" w:eastAsia="Times New Roman" w:hAnsi="Times New Roman" w:cs="Times New Roman"/>
      <w:snapToGrid w:val="0"/>
      <w:sz w:val="20"/>
      <w:szCs w:val="20"/>
    </w:rPr>
  </w:style>
  <w:style w:type="character" w:styleId="FootnoteReference">
    <w:name w:val="footnote reference"/>
    <w:basedOn w:val="DefaultParagraphFont"/>
    <w:uiPriority w:val="99"/>
    <w:unhideWhenUsed/>
    <w:rsid w:val="00C456A0"/>
    <w:rPr>
      <w:vertAlign w:val="superscript"/>
    </w:rPr>
  </w:style>
  <w:style w:type="character" w:styleId="Hyperlink">
    <w:name w:val="Hyperlink"/>
    <w:basedOn w:val="DefaultParagraphFont"/>
    <w:uiPriority w:val="99"/>
    <w:semiHidden/>
    <w:unhideWhenUsed/>
    <w:rsid w:val="00501F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726336">
      <w:bodyDiv w:val="1"/>
      <w:marLeft w:val="0"/>
      <w:marRight w:val="0"/>
      <w:marTop w:val="0"/>
      <w:marBottom w:val="0"/>
      <w:divBdr>
        <w:top w:val="none" w:sz="0" w:space="0" w:color="auto"/>
        <w:left w:val="none" w:sz="0" w:space="0" w:color="auto"/>
        <w:bottom w:val="none" w:sz="0" w:space="0" w:color="auto"/>
        <w:right w:val="none" w:sz="0" w:space="0" w:color="auto"/>
      </w:divBdr>
      <w:divsChild>
        <w:div w:id="1519849647">
          <w:marLeft w:val="0"/>
          <w:marRight w:val="0"/>
          <w:marTop w:val="0"/>
          <w:marBottom w:val="0"/>
          <w:divBdr>
            <w:top w:val="none" w:sz="0" w:space="0" w:color="auto"/>
            <w:left w:val="none" w:sz="0" w:space="0" w:color="auto"/>
            <w:bottom w:val="none" w:sz="0" w:space="0" w:color="auto"/>
            <w:right w:val="none" w:sz="0" w:space="0" w:color="auto"/>
          </w:divBdr>
        </w:div>
        <w:div w:id="288128172">
          <w:marLeft w:val="0"/>
          <w:marRight w:val="0"/>
          <w:marTop w:val="0"/>
          <w:marBottom w:val="0"/>
          <w:divBdr>
            <w:top w:val="none" w:sz="0" w:space="0" w:color="auto"/>
            <w:left w:val="none" w:sz="0" w:space="0" w:color="auto"/>
            <w:bottom w:val="none" w:sz="0" w:space="0" w:color="auto"/>
            <w:right w:val="none" w:sz="0" w:space="0" w:color="auto"/>
          </w:divBdr>
        </w:div>
        <w:div w:id="1857690935">
          <w:marLeft w:val="0"/>
          <w:marRight w:val="0"/>
          <w:marTop w:val="0"/>
          <w:marBottom w:val="0"/>
          <w:divBdr>
            <w:top w:val="none" w:sz="0" w:space="0" w:color="auto"/>
            <w:left w:val="none" w:sz="0" w:space="0" w:color="auto"/>
            <w:bottom w:val="none" w:sz="0" w:space="0" w:color="auto"/>
            <w:right w:val="none" w:sz="0" w:space="0" w:color="auto"/>
          </w:divBdr>
        </w:div>
        <w:div w:id="1759397898">
          <w:marLeft w:val="0"/>
          <w:marRight w:val="0"/>
          <w:marTop w:val="0"/>
          <w:marBottom w:val="0"/>
          <w:divBdr>
            <w:top w:val="none" w:sz="0" w:space="0" w:color="auto"/>
            <w:left w:val="none" w:sz="0" w:space="0" w:color="auto"/>
            <w:bottom w:val="none" w:sz="0" w:space="0" w:color="auto"/>
            <w:right w:val="none" w:sz="0" w:space="0" w:color="auto"/>
          </w:divBdr>
        </w:div>
        <w:div w:id="903837924">
          <w:marLeft w:val="0"/>
          <w:marRight w:val="0"/>
          <w:marTop w:val="0"/>
          <w:marBottom w:val="0"/>
          <w:divBdr>
            <w:top w:val="none" w:sz="0" w:space="0" w:color="auto"/>
            <w:left w:val="none" w:sz="0" w:space="0" w:color="auto"/>
            <w:bottom w:val="none" w:sz="0" w:space="0" w:color="auto"/>
            <w:right w:val="none" w:sz="0" w:space="0" w:color="auto"/>
          </w:divBdr>
        </w:div>
        <w:div w:id="1823158711">
          <w:marLeft w:val="0"/>
          <w:marRight w:val="0"/>
          <w:marTop w:val="0"/>
          <w:marBottom w:val="0"/>
          <w:divBdr>
            <w:top w:val="none" w:sz="0" w:space="0" w:color="auto"/>
            <w:left w:val="none" w:sz="0" w:space="0" w:color="auto"/>
            <w:bottom w:val="none" w:sz="0" w:space="0" w:color="auto"/>
            <w:right w:val="none" w:sz="0" w:space="0" w:color="auto"/>
          </w:divBdr>
        </w:div>
        <w:div w:id="1328676976">
          <w:marLeft w:val="0"/>
          <w:marRight w:val="0"/>
          <w:marTop w:val="0"/>
          <w:marBottom w:val="0"/>
          <w:divBdr>
            <w:top w:val="none" w:sz="0" w:space="0" w:color="auto"/>
            <w:left w:val="none" w:sz="0" w:space="0" w:color="auto"/>
            <w:bottom w:val="none" w:sz="0" w:space="0" w:color="auto"/>
            <w:right w:val="none" w:sz="0" w:space="0" w:color="auto"/>
          </w:divBdr>
        </w:div>
        <w:div w:id="1334139820">
          <w:marLeft w:val="0"/>
          <w:marRight w:val="0"/>
          <w:marTop w:val="0"/>
          <w:marBottom w:val="0"/>
          <w:divBdr>
            <w:top w:val="none" w:sz="0" w:space="0" w:color="auto"/>
            <w:left w:val="none" w:sz="0" w:space="0" w:color="auto"/>
            <w:bottom w:val="none" w:sz="0" w:space="0" w:color="auto"/>
            <w:right w:val="none" w:sz="0" w:space="0" w:color="auto"/>
          </w:divBdr>
        </w:div>
        <w:div w:id="2020690533">
          <w:marLeft w:val="0"/>
          <w:marRight w:val="0"/>
          <w:marTop w:val="0"/>
          <w:marBottom w:val="0"/>
          <w:divBdr>
            <w:top w:val="none" w:sz="0" w:space="0" w:color="auto"/>
            <w:left w:val="none" w:sz="0" w:space="0" w:color="auto"/>
            <w:bottom w:val="none" w:sz="0" w:space="0" w:color="auto"/>
            <w:right w:val="none" w:sz="0" w:space="0" w:color="auto"/>
          </w:divBdr>
        </w:div>
        <w:div w:id="700203102">
          <w:marLeft w:val="0"/>
          <w:marRight w:val="0"/>
          <w:marTop w:val="0"/>
          <w:marBottom w:val="0"/>
          <w:divBdr>
            <w:top w:val="none" w:sz="0" w:space="0" w:color="auto"/>
            <w:left w:val="none" w:sz="0" w:space="0" w:color="auto"/>
            <w:bottom w:val="none" w:sz="0" w:space="0" w:color="auto"/>
            <w:right w:val="none" w:sz="0" w:space="0" w:color="auto"/>
          </w:divBdr>
        </w:div>
        <w:div w:id="1973830105">
          <w:marLeft w:val="0"/>
          <w:marRight w:val="0"/>
          <w:marTop w:val="0"/>
          <w:marBottom w:val="0"/>
          <w:divBdr>
            <w:top w:val="none" w:sz="0" w:space="0" w:color="auto"/>
            <w:left w:val="none" w:sz="0" w:space="0" w:color="auto"/>
            <w:bottom w:val="none" w:sz="0" w:space="0" w:color="auto"/>
            <w:right w:val="none" w:sz="0" w:space="0" w:color="auto"/>
          </w:divBdr>
        </w:div>
        <w:div w:id="910508821">
          <w:marLeft w:val="0"/>
          <w:marRight w:val="0"/>
          <w:marTop w:val="0"/>
          <w:marBottom w:val="0"/>
          <w:divBdr>
            <w:top w:val="none" w:sz="0" w:space="0" w:color="auto"/>
            <w:left w:val="none" w:sz="0" w:space="0" w:color="auto"/>
            <w:bottom w:val="none" w:sz="0" w:space="0" w:color="auto"/>
            <w:right w:val="none" w:sz="0" w:space="0" w:color="auto"/>
          </w:divBdr>
        </w:div>
        <w:div w:id="673991608">
          <w:marLeft w:val="0"/>
          <w:marRight w:val="0"/>
          <w:marTop w:val="0"/>
          <w:marBottom w:val="0"/>
          <w:divBdr>
            <w:top w:val="none" w:sz="0" w:space="0" w:color="auto"/>
            <w:left w:val="none" w:sz="0" w:space="0" w:color="auto"/>
            <w:bottom w:val="none" w:sz="0" w:space="0" w:color="auto"/>
            <w:right w:val="none" w:sz="0" w:space="0" w:color="auto"/>
          </w:divBdr>
        </w:div>
        <w:div w:id="2122916131">
          <w:marLeft w:val="0"/>
          <w:marRight w:val="0"/>
          <w:marTop w:val="0"/>
          <w:marBottom w:val="0"/>
          <w:divBdr>
            <w:top w:val="none" w:sz="0" w:space="0" w:color="auto"/>
            <w:left w:val="none" w:sz="0" w:space="0" w:color="auto"/>
            <w:bottom w:val="none" w:sz="0" w:space="0" w:color="auto"/>
            <w:right w:val="none" w:sz="0" w:space="0" w:color="auto"/>
          </w:divBdr>
        </w:div>
        <w:div w:id="1445537741">
          <w:marLeft w:val="0"/>
          <w:marRight w:val="0"/>
          <w:marTop w:val="0"/>
          <w:marBottom w:val="0"/>
          <w:divBdr>
            <w:top w:val="none" w:sz="0" w:space="0" w:color="auto"/>
            <w:left w:val="none" w:sz="0" w:space="0" w:color="auto"/>
            <w:bottom w:val="none" w:sz="0" w:space="0" w:color="auto"/>
            <w:right w:val="none" w:sz="0" w:space="0" w:color="auto"/>
          </w:divBdr>
        </w:div>
        <w:div w:id="141895774">
          <w:marLeft w:val="0"/>
          <w:marRight w:val="0"/>
          <w:marTop w:val="0"/>
          <w:marBottom w:val="0"/>
          <w:divBdr>
            <w:top w:val="none" w:sz="0" w:space="0" w:color="auto"/>
            <w:left w:val="none" w:sz="0" w:space="0" w:color="auto"/>
            <w:bottom w:val="none" w:sz="0" w:space="0" w:color="auto"/>
            <w:right w:val="none" w:sz="0" w:space="0" w:color="auto"/>
          </w:divBdr>
        </w:div>
        <w:div w:id="869806566">
          <w:marLeft w:val="0"/>
          <w:marRight w:val="0"/>
          <w:marTop w:val="0"/>
          <w:marBottom w:val="0"/>
          <w:divBdr>
            <w:top w:val="none" w:sz="0" w:space="0" w:color="auto"/>
            <w:left w:val="none" w:sz="0" w:space="0" w:color="auto"/>
            <w:bottom w:val="none" w:sz="0" w:space="0" w:color="auto"/>
            <w:right w:val="none" w:sz="0" w:space="0" w:color="auto"/>
          </w:divBdr>
        </w:div>
        <w:div w:id="1752503084">
          <w:marLeft w:val="0"/>
          <w:marRight w:val="0"/>
          <w:marTop w:val="0"/>
          <w:marBottom w:val="0"/>
          <w:divBdr>
            <w:top w:val="none" w:sz="0" w:space="0" w:color="auto"/>
            <w:left w:val="none" w:sz="0" w:space="0" w:color="auto"/>
            <w:bottom w:val="none" w:sz="0" w:space="0" w:color="auto"/>
            <w:right w:val="none" w:sz="0" w:space="0" w:color="auto"/>
          </w:divBdr>
        </w:div>
        <w:div w:id="420758010">
          <w:marLeft w:val="0"/>
          <w:marRight w:val="0"/>
          <w:marTop w:val="0"/>
          <w:marBottom w:val="0"/>
          <w:divBdr>
            <w:top w:val="none" w:sz="0" w:space="0" w:color="auto"/>
            <w:left w:val="none" w:sz="0" w:space="0" w:color="auto"/>
            <w:bottom w:val="none" w:sz="0" w:space="0" w:color="auto"/>
            <w:right w:val="none" w:sz="0" w:space="0" w:color="auto"/>
          </w:divBdr>
        </w:div>
        <w:div w:id="556089664">
          <w:marLeft w:val="0"/>
          <w:marRight w:val="0"/>
          <w:marTop w:val="0"/>
          <w:marBottom w:val="0"/>
          <w:divBdr>
            <w:top w:val="none" w:sz="0" w:space="0" w:color="auto"/>
            <w:left w:val="none" w:sz="0" w:space="0" w:color="auto"/>
            <w:bottom w:val="none" w:sz="0" w:space="0" w:color="auto"/>
            <w:right w:val="none" w:sz="0" w:space="0" w:color="auto"/>
          </w:divBdr>
        </w:div>
        <w:div w:id="1440832622">
          <w:marLeft w:val="0"/>
          <w:marRight w:val="0"/>
          <w:marTop w:val="0"/>
          <w:marBottom w:val="0"/>
          <w:divBdr>
            <w:top w:val="none" w:sz="0" w:space="0" w:color="auto"/>
            <w:left w:val="none" w:sz="0" w:space="0" w:color="auto"/>
            <w:bottom w:val="none" w:sz="0" w:space="0" w:color="auto"/>
            <w:right w:val="none" w:sz="0" w:space="0" w:color="auto"/>
          </w:divBdr>
        </w:div>
        <w:div w:id="506359743">
          <w:marLeft w:val="0"/>
          <w:marRight w:val="0"/>
          <w:marTop w:val="0"/>
          <w:marBottom w:val="0"/>
          <w:divBdr>
            <w:top w:val="none" w:sz="0" w:space="0" w:color="auto"/>
            <w:left w:val="none" w:sz="0" w:space="0" w:color="auto"/>
            <w:bottom w:val="none" w:sz="0" w:space="0" w:color="auto"/>
            <w:right w:val="none" w:sz="0" w:space="0" w:color="auto"/>
          </w:divBdr>
        </w:div>
        <w:div w:id="300233195">
          <w:marLeft w:val="0"/>
          <w:marRight w:val="0"/>
          <w:marTop w:val="0"/>
          <w:marBottom w:val="0"/>
          <w:divBdr>
            <w:top w:val="none" w:sz="0" w:space="0" w:color="auto"/>
            <w:left w:val="none" w:sz="0" w:space="0" w:color="auto"/>
            <w:bottom w:val="none" w:sz="0" w:space="0" w:color="auto"/>
            <w:right w:val="none" w:sz="0" w:space="0" w:color="auto"/>
          </w:divBdr>
        </w:div>
      </w:divsChild>
    </w:div>
    <w:div w:id="1244992286">
      <w:bodyDiv w:val="1"/>
      <w:marLeft w:val="0"/>
      <w:marRight w:val="0"/>
      <w:marTop w:val="0"/>
      <w:marBottom w:val="0"/>
      <w:divBdr>
        <w:top w:val="none" w:sz="0" w:space="0" w:color="auto"/>
        <w:left w:val="none" w:sz="0" w:space="0" w:color="auto"/>
        <w:bottom w:val="none" w:sz="0" w:space="0" w:color="auto"/>
        <w:right w:val="none" w:sz="0" w:space="0" w:color="auto"/>
      </w:divBdr>
      <w:divsChild>
        <w:div w:id="78136658">
          <w:marLeft w:val="0"/>
          <w:marRight w:val="0"/>
          <w:marTop w:val="0"/>
          <w:marBottom w:val="0"/>
          <w:divBdr>
            <w:top w:val="none" w:sz="0" w:space="0" w:color="auto"/>
            <w:left w:val="none" w:sz="0" w:space="0" w:color="auto"/>
            <w:bottom w:val="none" w:sz="0" w:space="0" w:color="auto"/>
            <w:right w:val="none" w:sz="0" w:space="0" w:color="auto"/>
          </w:divBdr>
        </w:div>
        <w:div w:id="127355438">
          <w:marLeft w:val="0"/>
          <w:marRight w:val="0"/>
          <w:marTop w:val="0"/>
          <w:marBottom w:val="0"/>
          <w:divBdr>
            <w:top w:val="none" w:sz="0" w:space="0" w:color="auto"/>
            <w:left w:val="none" w:sz="0" w:space="0" w:color="auto"/>
            <w:bottom w:val="none" w:sz="0" w:space="0" w:color="auto"/>
            <w:right w:val="none" w:sz="0" w:space="0" w:color="auto"/>
          </w:divBdr>
        </w:div>
        <w:div w:id="1908998377">
          <w:marLeft w:val="0"/>
          <w:marRight w:val="0"/>
          <w:marTop w:val="0"/>
          <w:marBottom w:val="0"/>
          <w:divBdr>
            <w:top w:val="none" w:sz="0" w:space="0" w:color="auto"/>
            <w:left w:val="none" w:sz="0" w:space="0" w:color="auto"/>
            <w:bottom w:val="none" w:sz="0" w:space="0" w:color="auto"/>
            <w:right w:val="none" w:sz="0" w:space="0" w:color="auto"/>
          </w:divBdr>
        </w:div>
        <w:div w:id="1987391736">
          <w:marLeft w:val="0"/>
          <w:marRight w:val="0"/>
          <w:marTop w:val="0"/>
          <w:marBottom w:val="0"/>
          <w:divBdr>
            <w:top w:val="none" w:sz="0" w:space="0" w:color="auto"/>
            <w:left w:val="none" w:sz="0" w:space="0" w:color="auto"/>
            <w:bottom w:val="none" w:sz="0" w:space="0" w:color="auto"/>
            <w:right w:val="none" w:sz="0" w:space="0" w:color="auto"/>
          </w:divBdr>
        </w:div>
        <w:div w:id="786968451">
          <w:marLeft w:val="0"/>
          <w:marRight w:val="0"/>
          <w:marTop w:val="0"/>
          <w:marBottom w:val="0"/>
          <w:divBdr>
            <w:top w:val="none" w:sz="0" w:space="0" w:color="auto"/>
            <w:left w:val="none" w:sz="0" w:space="0" w:color="auto"/>
            <w:bottom w:val="none" w:sz="0" w:space="0" w:color="auto"/>
            <w:right w:val="none" w:sz="0" w:space="0" w:color="auto"/>
          </w:divBdr>
        </w:div>
        <w:div w:id="1078404978">
          <w:marLeft w:val="0"/>
          <w:marRight w:val="0"/>
          <w:marTop w:val="0"/>
          <w:marBottom w:val="0"/>
          <w:divBdr>
            <w:top w:val="none" w:sz="0" w:space="0" w:color="auto"/>
            <w:left w:val="none" w:sz="0" w:space="0" w:color="auto"/>
            <w:bottom w:val="none" w:sz="0" w:space="0" w:color="auto"/>
            <w:right w:val="none" w:sz="0" w:space="0" w:color="auto"/>
          </w:divBdr>
        </w:div>
        <w:div w:id="1293636895">
          <w:marLeft w:val="0"/>
          <w:marRight w:val="0"/>
          <w:marTop w:val="0"/>
          <w:marBottom w:val="0"/>
          <w:divBdr>
            <w:top w:val="none" w:sz="0" w:space="0" w:color="auto"/>
            <w:left w:val="none" w:sz="0" w:space="0" w:color="auto"/>
            <w:bottom w:val="none" w:sz="0" w:space="0" w:color="auto"/>
            <w:right w:val="none" w:sz="0" w:space="0" w:color="auto"/>
          </w:divBdr>
        </w:div>
        <w:div w:id="703872235">
          <w:marLeft w:val="0"/>
          <w:marRight w:val="0"/>
          <w:marTop w:val="0"/>
          <w:marBottom w:val="0"/>
          <w:divBdr>
            <w:top w:val="none" w:sz="0" w:space="0" w:color="auto"/>
            <w:left w:val="none" w:sz="0" w:space="0" w:color="auto"/>
            <w:bottom w:val="none" w:sz="0" w:space="0" w:color="auto"/>
            <w:right w:val="none" w:sz="0" w:space="0" w:color="auto"/>
          </w:divBdr>
        </w:div>
        <w:div w:id="331109554">
          <w:marLeft w:val="0"/>
          <w:marRight w:val="0"/>
          <w:marTop w:val="0"/>
          <w:marBottom w:val="0"/>
          <w:divBdr>
            <w:top w:val="none" w:sz="0" w:space="0" w:color="auto"/>
            <w:left w:val="none" w:sz="0" w:space="0" w:color="auto"/>
            <w:bottom w:val="none" w:sz="0" w:space="0" w:color="auto"/>
            <w:right w:val="none" w:sz="0" w:space="0" w:color="auto"/>
          </w:divBdr>
        </w:div>
      </w:divsChild>
    </w:div>
    <w:div w:id="1361977815">
      <w:bodyDiv w:val="1"/>
      <w:marLeft w:val="0"/>
      <w:marRight w:val="0"/>
      <w:marTop w:val="0"/>
      <w:marBottom w:val="0"/>
      <w:divBdr>
        <w:top w:val="none" w:sz="0" w:space="0" w:color="auto"/>
        <w:left w:val="none" w:sz="0" w:space="0" w:color="auto"/>
        <w:bottom w:val="none" w:sz="0" w:space="0" w:color="auto"/>
        <w:right w:val="none" w:sz="0" w:space="0" w:color="auto"/>
      </w:divBdr>
    </w:div>
    <w:div w:id="1906528503">
      <w:bodyDiv w:val="1"/>
      <w:marLeft w:val="0"/>
      <w:marRight w:val="0"/>
      <w:marTop w:val="0"/>
      <w:marBottom w:val="0"/>
      <w:divBdr>
        <w:top w:val="none" w:sz="0" w:space="0" w:color="auto"/>
        <w:left w:val="none" w:sz="0" w:space="0" w:color="auto"/>
        <w:bottom w:val="none" w:sz="0" w:space="0" w:color="auto"/>
        <w:right w:val="none" w:sz="0" w:space="0" w:color="auto"/>
      </w:divBdr>
      <w:divsChild>
        <w:div w:id="1350837219">
          <w:marLeft w:val="0"/>
          <w:marRight w:val="0"/>
          <w:marTop w:val="0"/>
          <w:marBottom w:val="0"/>
          <w:divBdr>
            <w:top w:val="none" w:sz="0" w:space="0" w:color="auto"/>
            <w:left w:val="none" w:sz="0" w:space="0" w:color="auto"/>
            <w:bottom w:val="none" w:sz="0" w:space="0" w:color="auto"/>
            <w:right w:val="none" w:sz="0" w:space="0" w:color="auto"/>
          </w:divBdr>
        </w:div>
        <w:div w:id="1036394435">
          <w:marLeft w:val="0"/>
          <w:marRight w:val="0"/>
          <w:marTop w:val="0"/>
          <w:marBottom w:val="0"/>
          <w:divBdr>
            <w:top w:val="none" w:sz="0" w:space="0" w:color="auto"/>
            <w:left w:val="none" w:sz="0" w:space="0" w:color="auto"/>
            <w:bottom w:val="none" w:sz="0" w:space="0" w:color="auto"/>
            <w:right w:val="none" w:sz="0" w:space="0" w:color="auto"/>
          </w:divBdr>
        </w:div>
        <w:div w:id="170066673">
          <w:marLeft w:val="0"/>
          <w:marRight w:val="0"/>
          <w:marTop w:val="0"/>
          <w:marBottom w:val="0"/>
          <w:divBdr>
            <w:top w:val="none" w:sz="0" w:space="0" w:color="auto"/>
            <w:left w:val="none" w:sz="0" w:space="0" w:color="auto"/>
            <w:bottom w:val="none" w:sz="0" w:space="0" w:color="auto"/>
            <w:right w:val="none" w:sz="0" w:space="0" w:color="auto"/>
          </w:divBdr>
        </w:div>
        <w:div w:id="1385106826">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3</Pages>
  <Words>1302</Words>
  <Characters>7422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USD</Company>
  <LinksUpToDate>false</LinksUpToDate>
  <CharactersWithSpaces>8707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Shakhnoza Nasriddinova</dc:creator>
  <cp:lastModifiedBy>Kevin Cahill</cp:lastModifiedBy>
  <cp:revision>14</cp:revision>
  <cp:lastPrinted>2015-01-26T20:37:00Z</cp:lastPrinted>
  <dcterms:created xsi:type="dcterms:W3CDTF">2015-01-19T23:13:00Z</dcterms:created>
  <dcterms:modified xsi:type="dcterms:W3CDTF">2015-01-26T20:44:00Z</dcterms:modified>
</cp:coreProperties>
</file>